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26F4" w14:textId="77777777" w:rsidR="00D70405" w:rsidRPr="00A419EB" w:rsidRDefault="00426C08" w:rsidP="00A419EB">
      <w:pPr>
        <w:pStyle w:val="Heading1"/>
        <w:rPr>
          <w:rFonts w:ascii="Arial" w:eastAsia="Arial" w:hAnsi="Arial" w:cs="Arial"/>
        </w:rPr>
      </w:pPr>
      <w:bookmarkStart w:id="0" w:name="_Hlk202604340"/>
      <w:bookmarkEnd w:id="0"/>
      <w:r w:rsidRPr="00A419EB">
        <w:rPr>
          <w:rFonts w:ascii="Arial" w:eastAsia="Arial" w:hAnsi="Arial" w:cs="Arial"/>
        </w:rPr>
        <w:t>"Strengthening Digital Literacy as an Effort to Reduce the Risk of Cyber Crime in Pacarejo Village, Semanu District, Gunungkidul"</w:t>
      </w:r>
    </w:p>
    <w:p w14:paraId="4EA5BC26" w14:textId="77777777" w:rsidR="00D70405" w:rsidRDefault="00D70405">
      <w:pPr>
        <w:rPr>
          <w:rFonts w:ascii="Arial" w:eastAsia="Arial" w:hAnsi="Arial" w:cs="Arial"/>
        </w:rPr>
      </w:pPr>
    </w:p>
    <w:tbl>
      <w:tblPr>
        <w:tblStyle w:val="a"/>
        <w:tblW w:w="907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843"/>
        <w:gridCol w:w="281"/>
        <w:gridCol w:w="6948"/>
      </w:tblGrid>
      <w:tr w:rsidR="00715464" w14:paraId="66A866CC" w14:textId="77777777">
        <w:tc>
          <w:tcPr>
            <w:tcW w:w="1843" w:type="dxa"/>
          </w:tcPr>
          <w:p w14:paraId="472FDC70" w14:textId="77777777" w:rsidR="00D70405" w:rsidRDefault="00D70405">
            <w:pPr>
              <w:pBdr>
                <w:top w:val="nil"/>
                <w:left w:val="nil"/>
                <w:bottom w:val="nil"/>
                <w:right w:val="nil"/>
                <w:between w:val="nil"/>
              </w:pBdr>
              <w:ind w:left="0"/>
              <w:rPr>
                <w:rFonts w:ascii="Arial" w:eastAsia="Arial" w:hAnsi="Arial" w:cs="Arial"/>
                <w:b/>
                <w:color w:val="000000"/>
                <w:sz w:val="20"/>
                <w:szCs w:val="20"/>
              </w:rPr>
            </w:pPr>
          </w:p>
        </w:tc>
        <w:tc>
          <w:tcPr>
            <w:tcW w:w="281" w:type="dxa"/>
            <w:vMerge w:val="restart"/>
          </w:tcPr>
          <w:p w14:paraId="12289E57" w14:textId="77777777" w:rsidR="00D70405" w:rsidRDefault="00D70405">
            <w:pPr>
              <w:pBdr>
                <w:top w:val="nil"/>
                <w:left w:val="nil"/>
                <w:bottom w:val="nil"/>
                <w:right w:val="nil"/>
                <w:between w:val="nil"/>
              </w:pBdr>
              <w:ind w:left="0"/>
              <w:rPr>
                <w:rFonts w:ascii="Arial" w:eastAsia="Arial" w:hAnsi="Arial" w:cs="Arial"/>
                <w:color w:val="000000"/>
                <w:sz w:val="20"/>
                <w:szCs w:val="20"/>
              </w:rPr>
            </w:pPr>
          </w:p>
        </w:tc>
        <w:tc>
          <w:tcPr>
            <w:tcW w:w="6948" w:type="dxa"/>
          </w:tcPr>
          <w:p w14:paraId="3B4F276D" w14:textId="77777777" w:rsidR="00D70405" w:rsidRDefault="00426C08">
            <w:pPr>
              <w:pBdr>
                <w:top w:val="nil"/>
                <w:left w:val="nil"/>
                <w:bottom w:val="nil"/>
                <w:right w:val="nil"/>
                <w:between w:val="nil"/>
              </w:pBdr>
              <w:ind w:left="177"/>
              <w:rPr>
                <w:rFonts w:ascii="Arial" w:eastAsia="Arial" w:hAnsi="Arial" w:cs="Arial"/>
                <w:b/>
                <w:color w:val="000000"/>
                <w:sz w:val="20"/>
                <w:szCs w:val="20"/>
              </w:rPr>
            </w:pPr>
            <w:r>
              <w:rPr>
                <w:rFonts w:ascii="Arial" w:eastAsia="Arial" w:hAnsi="Arial" w:cs="Arial"/>
                <w:b/>
                <w:color w:val="000000"/>
                <w:sz w:val="20"/>
                <w:szCs w:val="20"/>
              </w:rPr>
              <w:t>ABSTRAK</w:t>
            </w:r>
          </w:p>
        </w:tc>
      </w:tr>
      <w:tr w:rsidR="00715464" w14:paraId="45AB1906" w14:textId="77777777">
        <w:tc>
          <w:tcPr>
            <w:tcW w:w="1843" w:type="dxa"/>
            <w:tcBorders>
              <w:bottom w:val="nil"/>
            </w:tcBorders>
          </w:tcPr>
          <w:p w14:paraId="657C9705" w14:textId="77777777" w:rsidR="00D70405" w:rsidRDefault="00D70405">
            <w:pPr>
              <w:pBdr>
                <w:top w:val="nil"/>
                <w:left w:val="nil"/>
                <w:bottom w:val="nil"/>
                <w:right w:val="nil"/>
                <w:between w:val="nil"/>
              </w:pBdr>
              <w:ind w:left="0"/>
              <w:rPr>
                <w:rFonts w:ascii="Arial" w:eastAsia="Arial" w:hAnsi="Arial" w:cs="Arial"/>
                <w:color w:val="000000"/>
                <w:sz w:val="20"/>
                <w:szCs w:val="20"/>
              </w:rPr>
            </w:pPr>
          </w:p>
        </w:tc>
        <w:tc>
          <w:tcPr>
            <w:tcW w:w="281" w:type="dxa"/>
            <w:vMerge/>
          </w:tcPr>
          <w:p w14:paraId="77BA7EC5" w14:textId="77777777" w:rsidR="00D70405" w:rsidRDefault="00D70405">
            <w:pPr>
              <w:widowControl w:val="0"/>
              <w:pBdr>
                <w:top w:val="nil"/>
                <w:left w:val="nil"/>
                <w:bottom w:val="nil"/>
                <w:right w:val="nil"/>
                <w:between w:val="nil"/>
              </w:pBdr>
              <w:spacing w:line="276" w:lineRule="auto"/>
              <w:ind w:left="0"/>
              <w:jc w:val="left"/>
              <w:rPr>
                <w:rFonts w:ascii="Arial" w:eastAsia="Arial" w:hAnsi="Arial" w:cs="Arial"/>
                <w:color w:val="000000"/>
                <w:sz w:val="20"/>
                <w:szCs w:val="20"/>
              </w:rPr>
            </w:pPr>
          </w:p>
        </w:tc>
        <w:tc>
          <w:tcPr>
            <w:tcW w:w="6948" w:type="dxa"/>
          </w:tcPr>
          <w:p w14:paraId="489E313E" w14:textId="77777777" w:rsidR="00D70405" w:rsidRPr="0086695B" w:rsidRDefault="00D70405">
            <w:pPr>
              <w:pBdr>
                <w:top w:val="nil"/>
                <w:left w:val="nil"/>
                <w:bottom w:val="nil"/>
                <w:right w:val="nil"/>
                <w:between w:val="nil"/>
              </w:pBdr>
              <w:ind w:left="177"/>
              <w:rPr>
                <w:rFonts w:ascii="Arial" w:eastAsia="Arial" w:hAnsi="Arial" w:cs="Arial"/>
                <w:color w:val="000000"/>
                <w:sz w:val="20"/>
                <w:szCs w:val="20"/>
              </w:rPr>
            </w:pPr>
          </w:p>
          <w:p w14:paraId="77D40417" w14:textId="77777777" w:rsidR="0086695B" w:rsidRDefault="00426C08" w:rsidP="0086695B">
            <w:pPr>
              <w:ind w:left="177"/>
              <w:rPr>
                <w:rFonts w:ascii="Arial" w:eastAsia="Arial" w:hAnsi="Arial" w:cs="Arial"/>
                <w:color w:val="000000"/>
                <w:sz w:val="20"/>
                <w:szCs w:val="20"/>
              </w:rPr>
            </w:pPr>
            <w:r w:rsidRPr="0086695B">
              <w:rPr>
                <w:rFonts w:ascii="Arial" w:eastAsia="Arial" w:hAnsi="Arial" w:cs="Arial"/>
                <w:color w:val="000000"/>
                <w:sz w:val="20"/>
                <w:szCs w:val="20"/>
              </w:rPr>
              <w:t>Semakin berkembangnya akses internet dan penetrasi perangkat digital telah membawa dampak signifikan bagi masyarakat desa, memungkinkan mereka untuk terhubung dalam ekosistem digital. Namun, rendahnya tingkat literasi digital di kalangan mereka turut meningkatkan potensi mereka menjadi korban kejahatan dunia maya (</w:t>
            </w:r>
            <w:r w:rsidRPr="0086695B">
              <w:rPr>
                <w:rFonts w:ascii="Arial" w:eastAsia="Arial" w:hAnsi="Arial" w:cs="Arial"/>
                <w:i/>
                <w:iCs/>
                <w:color w:val="000000"/>
                <w:sz w:val="20"/>
                <w:szCs w:val="20"/>
              </w:rPr>
              <w:t>cyber</w:t>
            </w:r>
            <w:r>
              <w:rPr>
                <w:rFonts w:ascii="Arial" w:eastAsia="Arial" w:hAnsi="Arial" w:cs="Arial"/>
                <w:i/>
                <w:iCs/>
                <w:color w:val="000000"/>
                <w:sz w:val="20"/>
                <w:szCs w:val="20"/>
                <w:lang w:val="en-US"/>
              </w:rPr>
              <w:t xml:space="preserve"> </w:t>
            </w:r>
            <w:r w:rsidRPr="0086695B">
              <w:rPr>
                <w:rFonts w:ascii="Arial" w:eastAsia="Arial" w:hAnsi="Arial" w:cs="Arial"/>
                <w:i/>
                <w:iCs/>
                <w:color w:val="000000"/>
                <w:sz w:val="20"/>
                <w:szCs w:val="20"/>
              </w:rPr>
              <w:t>crime</w:t>
            </w:r>
            <w:r w:rsidRPr="0086695B">
              <w:rPr>
                <w:rFonts w:ascii="Arial" w:eastAsia="Arial" w:hAnsi="Arial" w:cs="Arial"/>
                <w:color w:val="000000"/>
                <w:sz w:val="20"/>
                <w:szCs w:val="20"/>
              </w:rPr>
              <w:t xml:space="preserve">). Kejahatan cyber ini tidak hanya berdampak pada kerugian materiil, tetapi juga mengancam keamanan dan privasi individu serta merusak stabilitas sosial dan ekonomi di desa. Oleh karena itu, perlindungan serta penguatan literasi digital menjadi langkah preventif yang penting untuk mengurangi risiko tersebut. Program pengabdian masyarakat ini bertujuan untuk meningkatkan literasi digital melalui sosialisasi, penyuluhan mengenai berbagai bentuk </w:t>
            </w:r>
            <w:r w:rsidRPr="0086695B">
              <w:rPr>
                <w:rFonts w:ascii="Arial" w:eastAsia="Arial" w:hAnsi="Arial" w:cs="Arial"/>
                <w:i/>
                <w:iCs/>
                <w:color w:val="000000"/>
                <w:sz w:val="20"/>
                <w:szCs w:val="20"/>
              </w:rPr>
              <w:t>cyber</w:t>
            </w:r>
            <w:r>
              <w:rPr>
                <w:rFonts w:ascii="Arial" w:eastAsia="Arial" w:hAnsi="Arial" w:cs="Arial"/>
                <w:i/>
                <w:iCs/>
                <w:color w:val="000000"/>
                <w:sz w:val="20"/>
                <w:szCs w:val="20"/>
                <w:lang w:val="en-US"/>
              </w:rPr>
              <w:t xml:space="preserve"> </w:t>
            </w:r>
            <w:r w:rsidRPr="0086695B">
              <w:rPr>
                <w:rFonts w:ascii="Arial" w:eastAsia="Arial" w:hAnsi="Arial" w:cs="Arial"/>
                <w:i/>
                <w:iCs/>
                <w:color w:val="000000"/>
                <w:sz w:val="20"/>
                <w:szCs w:val="20"/>
              </w:rPr>
              <w:t>crime</w:t>
            </w:r>
            <w:r w:rsidRPr="0086695B">
              <w:rPr>
                <w:rFonts w:ascii="Arial" w:eastAsia="Arial" w:hAnsi="Arial" w:cs="Arial"/>
                <w:color w:val="000000"/>
                <w:sz w:val="20"/>
                <w:szCs w:val="20"/>
              </w:rPr>
              <w:t xml:space="preserve">, pelatihan langkah-langkah antisipasi terhadap tindak </w:t>
            </w:r>
            <w:r w:rsidRPr="0086695B">
              <w:rPr>
                <w:rFonts w:ascii="Arial" w:eastAsia="Arial" w:hAnsi="Arial" w:cs="Arial"/>
                <w:i/>
                <w:iCs/>
                <w:color w:val="000000"/>
                <w:sz w:val="20"/>
                <w:szCs w:val="20"/>
              </w:rPr>
              <w:t>cyber crime</w:t>
            </w:r>
            <w:r w:rsidRPr="0086695B">
              <w:rPr>
                <w:rFonts w:ascii="Arial" w:eastAsia="Arial" w:hAnsi="Arial" w:cs="Arial"/>
                <w:color w:val="000000"/>
                <w:sz w:val="20"/>
                <w:szCs w:val="20"/>
              </w:rPr>
              <w:t xml:space="preserve">, serta praktik penggunaan aplikasi anti cyber crime di smartphone. Dengan adanya program ini, diharapkan Desa Pacarejo dapat menjadi contoh dalam membangun ketahanan siber di tingkat lokal, yang pada gilirannya dapat mengurangi risiko </w:t>
            </w:r>
            <w:r w:rsidRPr="0086695B">
              <w:rPr>
                <w:rFonts w:ascii="Arial" w:eastAsia="Arial" w:hAnsi="Arial" w:cs="Arial"/>
                <w:i/>
                <w:iCs/>
                <w:color w:val="000000"/>
                <w:sz w:val="20"/>
                <w:szCs w:val="20"/>
              </w:rPr>
              <w:t>cyber crime</w:t>
            </w:r>
            <w:r w:rsidRPr="0086695B">
              <w:rPr>
                <w:rFonts w:ascii="Arial" w:eastAsia="Arial" w:hAnsi="Arial" w:cs="Arial"/>
                <w:color w:val="000000"/>
                <w:sz w:val="20"/>
                <w:szCs w:val="20"/>
              </w:rPr>
              <w:t xml:space="preserve"> dan meningkatkan kesejahteraan serta keamanan digital masyarakat desa.</w:t>
            </w:r>
          </w:p>
          <w:p w14:paraId="1BADEE21" w14:textId="77777777" w:rsidR="0086695B" w:rsidRPr="0086695B" w:rsidRDefault="0086695B" w:rsidP="0086695B">
            <w:pPr>
              <w:ind w:left="177"/>
              <w:rPr>
                <w:rFonts w:ascii="Arial" w:eastAsia="Arial" w:hAnsi="Arial" w:cs="Arial"/>
                <w:color w:val="000000"/>
                <w:sz w:val="20"/>
                <w:szCs w:val="20"/>
              </w:rPr>
            </w:pPr>
          </w:p>
          <w:p w14:paraId="7A95208E" w14:textId="77777777" w:rsidR="0086695B" w:rsidRPr="0086695B" w:rsidRDefault="00426C08" w:rsidP="0086695B">
            <w:pPr>
              <w:ind w:left="177"/>
              <w:rPr>
                <w:rFonts w:ascii="Arial" w:eastAsia="Arial" w:hAnsi="Arial" w:cs="Arial"/>
                <w:color w:val="000000"/>
                <w:sz w:val="20"/>
                <w:szCs w:val="20"/>
                <w:lang w:val="en-US"/>
              </w:rPr>
            </w:pPr>
            <w:r w:rsidRPr="0086695B">
              <w:rPr>
                <w:rFonts w:ascii="Arial" w:eastAsia="Arial" w:hAnsi="Arial" w:cs="Arial"/>
                <w:i/>
                <w:iCs/>
                <w:color w:val="000000"/>
                <w:sz w:val="20"/>
                <w:szCs w:val="20"/>
              </w:rPr>
              <w:t>Keyword:</w:t>
            </w:r>
            <w:r>
              <w:rPr>
                <w:rFonts w:ascii="Arial" w:eastAsia="Arial" w:hAnsi="Arial" w:cs="Arial"/>
                <w:color w:val="000000"/>
                <w:sz w:val="20"/>
                <w:szCs w:val="20"/>
                <w:lang w:val="en-US"/>
              </w:rPr>
              <w:t xml:space="preserve"> L</w:t>
            </w:r>
            <w:r w:rsidRPr="0086695B">
              <w:rPr>
                <w:rFonts w:ascii="Arial" w:eastAsia="Arial" w:hAnsi="Arial" w:cs="Arial"/>
                <w:color w:val="000000"/>
                <w:sz w:val="20"/>
                <w:szCs w:val="20"/>
              </w:rPr>
              <w:t xml:space="preserve">iterasi </w:t>
            </w:r>
            <w:r>
              <w:rPr>
                <w:rFonts w:ascii="Arial" w:eastAsia="Arial" w:hAnsi="Arial" w:cs="Arial"/>
                <w:color w:val="000000"/>
                <w:sz w:val="20"/>
                <w:szCs w:val="20"/>
                <w:lang w:val="en-US"/>
              </w:rPr>
              <w:t>D</w:t>
            </w:r>
            <w:r w:rsidRPr="0086695B">
              <w:rPr>
                <w:rFonts w:ascii="Arial" w:eastAsia="Arial" w:hAnsi="Arial" w:cs="Arial"/>
                <w:color w:val="000000"/>
                <w:sz w:val="20"/>
                <w:szCs w:val="20"/>
              </w:rPr>
              <w:t>igital</w:t>
            </w:r>
            <w:r>
              <w:rPr>
                <w:rFonts w:ascii="Arial" w:eastAsia="Arial" w:hAnsi="Arial" w:cs="Arial"/>
                <w:color w:val="000000"/>
                <w:sz w:val="20"/>
                <w:szCs w:val="20"/>
                <w:lang w:val="en-US"/>
              </w:rPr>
              <w:t xml:space="preserve">; </w:t>
            </w:r>
            <w:r w:rsidRPr="0086695B">
              <w:rPr>
                <w:rFonts w:ascii="Arial" w:eastAsia="Arial" w:hAnsi="Arial" w:cs="Arial"/>
                <w:color w:val="000000"/>
                <w:sz w:val="20"/>
                <w:szCs w:val="20"/>
              </w:rPr>
              <w:t xml:space="preserve"> </w:t>
            </w:r>
            <w:r w:rsidRPr="0086695B">
              <w:rPr>
                <w:rFonts w:ascii="Arial" w:eastAsia="Arial" w:hAnsi="Arial" w:cs="Arial"/>
                <w:i/>
                <w:iCs/>
                <w:color w:val="000000"/>
                <w:sz w:val="20"/>
                <w:szCs w:val="20"/>
              </w:rPr>
              <w:t>Cyber Crime</w:t>
            </w:r>
            <w:r>
              <w:rPr>
                <w:rFonts w:ascii="Arial" w:eastAsia="Arial" w:hAnsi="Arial" w:cs="Arial"/>
                <w:color w:val="000000"/>
                <w:sz w:val="20"/>
                <w:szCs w:val="20"/>
                <w:lang w:val="en-US"/>
              </w:rPr>
              <w:t xml:space="preserve">; </w:t>
            </w:r>
            <w:r w:rsidRPr="0086695B">
              <w:rPr>
                <w:rFonts w:ascii="Arial" w:eastAsia="Arial" w:hAnsi="Arial" w:cs="Arial"/>
                <w:color w:val="000000"/>
                <w:sz w:val="20"/>
                <w:szCs w:val="20"/>
              </w:rPr>
              <w:t>Keamanan Digita</w:t>
            </w:r>
            <w:r>
              <w:rPr>
                <w:rFonts w:ascii="Arial" w:eastAsia="Arial" w:hAnsi="Arial" w:cs="Arial"/>
                <w:color w:val="000000"/>
                <w:sz w:val="20"/>
                <w:szCs w:val="20"/>
                <w:lang w:val="en-US"/>
              </w:rPr>
              <w:t>l;</w:t>
            </w:r>
            <w:r w:rsidRPr="0086695B">
              <w:rPr>
                <w:rFonts w:ascii="Arial" w:eastAsia="Arial" w:hAnsi="Arial" w:cs="Arial"/>
                <w:color w:val="000000"/>
                <w:sz w:val="20"/>
                <w:szCs w:val="20"/>
              </w:rPr>
              <w:t xml:space="preserve"> Ketahanan Siber</w:t>
            </w:r>
            <w:r>
              <w:rPr>
                <w:rFonts w:ascii="Arial" w:eastAsia="Arial" w:hAnsi="Arial" w:cs="Arial"/>
                <w:color w:val="000000"/>
                <w:sz w:val="20"/>
                <w:szCs w:val="20"/>
                <w:lang w:val="en-US"/>
              </w:rPr>
              <w:t>;</w:t>
            </w:r>
            <w:r w:rsidRPr="0086695B">
              <w:rPr>
                <w:rFonts w:ascii="Arial" w:eastAsia="Arial" w:hAnsi="Arial" w:cs="Arial"/>
                <w:color w:val="000000"/>
                <w:sz w:val="20"/>
                <w:szCs w:val="20"/>
              </w:rPr>
              <w:t xml:space="preserve"> Teknologi Informasi</w:t>
            </w:r>
          </w:p>
          <w:p w14:paraId="460EED1C" w14:textId="77777777" w:rsidR="00D70405" w:rsidRDefault="00D70405" w:rsidP="0086695B">
            <w:pPr>
              <w:pBdr>
                <w:top w:val="nil"/>
                <w:left w:val="nil"/>
                <w:bottom w:val="nil"/>
                <w:right w:val="nil"/>
                <w:between w:val="nil"/>
              </w:pBdr>
              <w:ind w:left="177"/>
              <w:rPr>
                <w:rFonts w:ascii="Arial" w:eastAsia="Arial" w:hAnsi="Arial" w:cs="Arial"/>
                <w:color w:val="000000"/>
                <w:sz w:val="20"/>
                <w:szCs w:val="20"/>
              </w:rPr>
            </w:pPr>
          </w:p>
        </w:tc>
      </w:tr>
      <w:tr w:rsidR="00715464" w14:paraId="224B201C" w14:textId="77777777">
        <w:tc>
          <w:tcPr>
            <w:tcW w:w="1843" w:type="dxa"/>
            <w:tcBorders>
              <w:top w:val="nil"/>
              <w:bottom w:val="nil"/>
            </w:tcBorders>
          </w:tcPr>
          <w:p w14:paraId="4FEBCA74" w14:textId="77777777" w:rsidR="00D70405" w:rsidRDefault="00D70405">
            <w:pPr>
              <w:pBdr>
                <w:top w:val="nil"/>
                <w:left w:val="nil"/>
                <w:bottom w:val="nil"/>
                <w:right w:val="nil"/>
                <w:between w:val="nil"/>
              </w:pBdr>
              <w:ind w:left="0"/>
              <w:rPr>
                <w:rFonts w:ascii="Arial" w:eastAsia="Arial" w:hAnsi="Arial" w:cs="Arial"/>
                <w:b/>
                <w:color w:val="000000"/>
                <w:sz w:val="20"/>
                <w:szCs w:val="20"/>
              </w:rPr>
            </w:pPr>
          </w:p>
        </w:tc>
        <w:tc>
          <w:tcPr>
            <w:tcW w:w="281" w:type="dxa"/>
            <w:vMerge/>
          </w:tcPr>
          <w:p w14:paraId="23C2A4BA" w14:textId="77777777" w:rsidR="00D70405" w:rsidRDefault="00D70405">
            <w:pPr>
              <w:widowControl w:val="0"/>
              <w:pBdr>
                <w:top w:val="nil"/>
                <w:left w:val="nil"/>
                <w:bottom w:val="nil"/>
                <w:right w:val="nil"/>
                <w:between w:val="nil"/>
              </w:pBdr>
              <w:spacing w:line="276" w:lineRule="auto"/>
              <w:ind w:left="0"/>
              <w:jc w:val="left"/>
              <w:rPr>
                <w:rFonts w:ascii="Arial" w:eastAsia="Arial" w:hAnsi="Arial" w:cs="Arial"/>
                <w:b/>
                <w:color w:val="000000"/>
                <w:sz w:val="20"/>
                <w:szCs w:val="20"/>
              </w:rPr>
            </w:pPr>
          </w:p>
        </w:tc>
        <w:tc>
          <w:tcPr>
            <w:tcW w:w="6948" w:type="dxa"/>
          </w:tcPr>
          <w:p w14:paraId="7D362C36" w14:textId="77777777" w:rsidR="00D70405" w:rsidRDefault="00426C08">
            <w:pPr>
              <w:pBdr>
                <w:top w:val="nil"/>
                <w:left w:val="nil"/>
                <w:bottom w:val="nil"/>
                <w:right w:val="nil"/>
                <w:between w:val="nil"/>
              </w:pBdr>
              <w:ind w:left="177"/>
              <w:rPr>
                <w:rFonts w:ascii="Arial" w:eastAsia="Arial" w:hAnsi="Arial" w:cs="Arial"/>
                <w:b/>
                <w:i/>
                <w:color w:val="000000"/>
                <w:sz w:val="20"/>
                <w:szCs w:val="20"/>
              </w:rPr>
            </w:pPr>
            <w:r>
              <w:rPr>
                <w:rFonts w:ascii="Arial" w:eastAsia="Arial" w:hAnsi="Arial" w:cs="Arial"/>
                <w:b/>
                <w:i/>
                <w:color w:val="000000"/>
                <w:sz w:val="20"/>
                <w:szCs w:val="20"/>
              </w:rPr>
              <w:t>ABSTRACT</w:t>
            </w:r>
          </w:p>
        </w:tc>
      </w:tr>
      <w:tr w:rsidR="00715464" w14:paraId="4B0DF3FE" w14:textId="77777777">
        <w:tc>
          <w:tcPr>
            <w:tcW w:w="1843" w:type="dxa"/>
            <w:tcBorders>
              <w:top w:val="nil"/>
              <w:bottom w:val="single" w:sz="4" w:space="0" w:color="000000"/>
            </w:tcBorders>
          </w:tcPr>
          <w:p w14:paraId="371B9BD4" w14:textId="77777777" w:rsidR="00D70405" w:rsidRDefault="00D70405">
            <w:pPr>
              <w:pBdr>
                <w:top w:val="nil"/>
                <w:left w:val="nil"/>
                <w:bottom w:val="nil"/>
                <w:right w:val="nil"/>
                <w:between w:val="nil"/>
              </w:pBdr>
              <w:ind w:left="0"/>
              <w:rPr>
                <w:rFonts w:ascii="Arial" w:eastAsia="Arial" w:hAnsi="Arial" w:cs="Arial"/>
                <w:color w:val="000000"/>
                <w:sz w:val="20"/>
                <w:szCs w:val="20"/>
              </w:rPr>
            </w:pPr>
          </w:p>
          <w:p w14:paraId="3935DCB2" w14:textId="77777777" w:rsidR="00D70405" w:rsidRDefault="00D70405">
            <w:pPr>
              <w:pBdr>
                <w:top w:val="nil"/>
                <w:left w:val="nil"/>
                <w:bottom w:val="nil"/>
                <w:right w:val="nil"/>
                <w:between w:val="nil"/>
              </w:pBdr>
              <w:ind w:left="0"/>
              <w:rPr>
                <w:rFonts w:ascii="Arial" w:eastAsia="Arial" w:hAnsi="Arial" w:cs="Arial"/>
                <w:color w:val="000000"/>
                <w:sz w:val="20"/>
                <w:szCs w:val="20"/>
              </w:rPr>
            </w:pPr>
          </w:p>
        </w:tc>
        <w:tc>
          <w:tcPr>
            <w:tcW w:w="281" w:type="dxa"/>
            <w:vMerge/>
          </w:tcPr>
          <w:p w14:paraId="626079D8" w14:textId="77777777" w:rsidR="00D70405" w:rsidRDefault="00D70405">
            <w:pPr>
              <w:widowControl w:val="0"/>
              <w:pBdr>
                <w:top w:val="nil"/>
                <w:left w:val="nil"/>
                <w:bottom w:val="nil"/>
                <w:right w:val="nil"/>
                <w:between w:val="nil"/>
              </w:pBdr>
              <w:spacing w:line="276" w:lineRule="auto"/>
              <w:ind w:left="0"/>
              <w:jc w:val="left"/>
              <w:rPr>
                <w:rFonts w:ascii="Arial" w:eastAsia="Arial" w:hAnsi="Arial" w:cs="Arial"/>
                <w:color w:val="000000"/>
                <w:sz w:val="20"/>
                <w:szCs w:val="20"/>
              </w:rPr>
            </w:pPr>
          </w:p>
        </w:tc>
        <w:tc>
          <w:tcPr>
            <w:tcW w:w="6948" w:type="dxa"/>
          </w:tcPr>
          <w:p w14:paraId="2A2F43DD" w14:textId="77777777" w:rsidR="0086695B" w:rsidRPr="0086695B" w:rsidRDefault="00426C08" w:rsidP="0086695B">
            <w:pPr>
              <w:ind w:left="177"/>
              <w:rPr>
                <w:rFonts w:ascii="Arial" w:eastAsia="Arial" w:hAnsi="Arial" w:cs="Arial"/>
                <w:i/>
                <w:color w:val="000000"/>
                <w:sz w:val="20"/>
                <w:szCs w:val="20"/>
              </w:rPr>
            </w:pPr>
            <w:r w:rsidRPr="0086695B">
              <w:rPr>
                <w:rFonts w:ascii="Arial" w:eastAsia="Arial" w:hAnsi="Arial" w:cs="Arial"/>
                <w:i/>
                <w:color w:val="000000"/>
                <w:sz w:val="20"/>
                <w:szCs w:val="20"/>
              </w:rPr>
              <w:t>The increasing development of internet access and the penetration of digital devices has had a significant impact on rural communities, enabling them to connect within the digital ecosystem. However, the low level of digital literacy among them has also increased their potential to become victims of cybercrime. This cybercrime not only causes material losses but also threatens individual security and privacy, as well as disrupts the social and economic stability in rural areas. Therefore, the protection and enhancement of digital literacy become essential preventive measures to reduce these risks. This community service program aims to improve digital literacy through socialization, education on various forms of cybercrime, training on measures to anticipate cybercrime, and practical use of anti-cybercrime applications on smartphones. With this program, it is hoped that Pacarejo Village can become a model in building local cyber resilience, which in turn can reduce the risk of cybercrime and enhance the digital security and well-being of the village community.</w:t>
            </w:r>
          </w:p>
          <w:p w14:paraId="724B3A71" w14:textId="77777777" w:rsidR="00D70405" w:rsidRPr="0086695B" w:rsidRDefault="00426C08" w:rsidP="0086695B">
            <w:pPr>
              <w:ind w:left="177"/>
              <w:rPr>
                <w:rFonts w:ascii="Times New Roman" w:eastAsia="Times New Roman" w:hAnsi="Times New Roman" w:cs="Times New Roman"/>
                <w:sz w:val="24"/>
                <w:szCs w:val="24"/>
              </w:rPr>
            </w:pPr>
            <w:r w:rsidRPr="0086695B">
              <w:rPr>
                <w:rFonts w:ascii="Arial" w:eastAsia="Arial" w:hAnsi="Arial" w:cs="Arial"/>
                <w:i/>
                <w:color w:val="000000"/>
                <w:sz w:val="20"/>
                <w:szCs w:val="20"/>
              </w:rPr>
              <w:t>Keywords: Digital Literacy; Cybercrime; Digital Security; Cyber Resilience; Information Technology</w:t>
            </w:r>
          </w:p>
        </w:tc>
      </w:tr>
    </w:tbl>
    <w:p w14:paraId="71562353" w14:textId="77777777" w:rsidR="00D70405" w:rsidRDefault="00D70405">
      <w:pPr>
        <w:jc w:val="right"/>
        <w:rPr>
          <w:sz w:val="16"/>
          <w:szCs w:val="16"/>
        </w:rPr>
        <w:sectPr w:rsidR="00D70405">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340" w:footer="397" w:gutter="0"/>
          <w:pgNumType w:start="1"/>
          <w:cols w:space="720"/>
          <w:titlePg/>
        </w:sectPr>
      </w:pPr>
    </w:p>
    <w:p w14:paraId="10960F02" w14:textId="77777777" w:rsidR="00D70405" w:rsidRDefault="00426C08">
      <w:pPr>
        <w:pStyle w:val="Heading2"/>
        <w:numPr>
          <w:ilvl w:val="0"/>
          <w:numId w:val="1"/>
        </w:numPr>
        <w:rPr>
          <w:rFonts w:ascii="Arial" w:eastAsia="Arial" w:hAnsi="Arial" w:cs="Arial"/>
          <w:b/>
          <w:color w:val="000000"/>
          <w:sz w:val="24"/>
          <w:szCs w:val="24"/>
        </w:rPr>
      </w:pPr>
      <w:r>
        <w:rPr>
          <w:rFonts w:ascii="Arial" w:eastAsia="Arial" w:hAnsi="Arial" w:cs="Arial"/>
          <w:b/>
          <w:color w:val="000000"/>
          <w:sz w:val="24"/>
          <w:szCs w:val="24"/>
        </w:rPr>
        <w:lastRenderedPageBreak/>
        <w:t>PENDAHULUAN</w:t>
      </w:r>
    </w:p>
    <w:p w14:paraId="67CA69E9" w14:textId="77777777" w:rsidR="00D70405" w:rsidRDefault="00D70405"/>
    <w:p w14:paraId="5B4DF399" w14:textId="77777777" w:rsidR="00E9446E" w:rsidRPr="005F14BD" w:rsidRDefault="00426C08" w:rsidP="005F14BD">
      <w:pPr>
        <w:pBdr>
          <w:top w:val="nil"/>
          <w:left w:val="nil"/>
          <w:bottom w:val="nil"/>
          <w:right w:val="nil"/>
          <w:between w:val="nil"/>
        </w:pBdr>
        <w:spacing w:line="276" w:lineRule="auto"/>
        <w:rPr>
          <w:rFonts w:asciiTheme="minorBidi" w:eastAsia="Arial" w:hAnsiTheme="minorBidi" w:cstheme="minorBidi"/>
          <w:color w:val="000000"/>
          <w:sz w:val="24"/>
          <w:szCs w:val="24"/>
        </w:rPr>
      </w:pPr>
      <w:r w:rsidRPr="005F14BD">
        <w:rPr>
          <w:rFonts w:asciiTheme="minorBidi" w:eastAsia="Arial" w:hAnsiTheme="minorBidi" w:cstheme="minorBidi"/>
          <w:color w:val="000000"/>
          <w:sz w:val="24"/>
          <w:szCs w:val="24"/>
        </w:rPr>
        <w:t>Pada era digital saat ini, teknologi informasi telah menjadi bagian yang tidak terpisahkan dari kehidupan sehari-hari masyarakat</w:t>
      </w:r>
      <w:r w:rsidRPr="005F14BD">
        <w:rPr>
          <w:rFonts w:asciiTheme="minorBidi" w:eastAsia="Arial" w:hAnsiTheme="minorBidi" w:cstheme="minorBidi"/>
          <w:color w:val="000000"/>
          <w:sz w:val="24"/>
          <w:szCs w:val="24"/>
          <w:lang w:val="en-US"/>
        </w:rPr>
        <w:t xml:space="preserve"> </w:t>
      </w:r>
      <w:r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{"citationID":"AflCslNK","properties":{"formattedCitation":"[1], [2]","plainCitation":"[1], [2]","noteIndex":0},"citationItems":[{"id":2964,"uris":["http://zotero.org/users/12199149/items/QVY59WTX"],"itemData":{"id":2964,"type":"article-journal","abstract":"Human curiosity about something will always increase the level of knowledge because everything known is knowledge. Such is knowledge, along with the times, information technology has become one of the influential factors in business success because of its advantages in facilitating work in everyday life. Everything related to the process, implementation as a tool, manipulation, and information management is a function of information technology. Without the help of information technology in the business world, it can make the promotion of a product less competitive with other competitors, weaken marketing management, worsen the company's infrastructure, and experience difficulties in running the business. This activity aims to see the level of public knowledge related to information technology, which is very helpful in daily life. This service uses a descriptive survey method associated with the level of general knowledge about information technology with a measuring instrument in the form of a questionnaire distributed to the public through webinar activities with random sampling so that 290 respondents are obtained consisting of students, private workers, and so on. Based on the results, it is known that as many as 73.6% of respondents have understood how to apply information technology. As many as 60% of respondents stated that information technology is fundamental in everyday life because it can facilitate all existing work. Most people in Samarinda already know how to apply and the importance of this information technology in promoting their work.","container-title":"PengabdianMu: Jurnal Ilmiah Pengabdian kepada Masyarakat","DOI":"10.33084/pengabdianmu.v7i1.2814","ISSN":"2654-4385, 2502-6828","issue":"1","journalAbbreviation":"Pengabdianmu J Ilmiah Pengabdian Masyarakat","language":"id","license":"http://creativecommons.org/licenses/by-sa/4.0","page":"112-117","source":"DOI.org (Crossref)","title":"Pengetahuan Masyarakat di Kota Samarinda tentang Teknologi Informasi","volume":"7","author":[{"family":"Faldi","given":"Faldi"},{"family":"Setiaji","given":"Bambang"},{"family":"Anshari","given":"Rahman"},{"family":"Syamat","given":"Rizky Kurniawan"},{"family":"Hamzah","given":"Hasyrul"},{"family":"Rahmah","given":"Widya"}],"issued":{"date-parts":[["2022",1,31]]}}},{"id":2966,"uris":["http://zotero.org/users/12199149/items/KVLRRW5H"],"itemData":{"id":2966,"type":"article-journal","abstract":"The Internet in 21st is the backbone of an inexhaustible source of global information that has revolutionized the communication system, knowledge transmission and education system which brings progress in all fields of endeavour from the creation of new goods, services and ideas for the advancement of knowledge and well-being of society as well. Internet is not just a mere technology, rather a cultural artefact bringing cultures together and aggregates people in more accessible forms, nurturing the rise of new forms of expression for art, innovation and enormous knowledge transmission. The internet has strongly influenced our education system by connecting and empowering students and educators through unbounded possibilities of knowledge sharing and creating new ways of teaching and learning without the restriction of time and physical constraints that captivate and stimulate students' imagination at anytime, anywhere using an internet connected device. The internet can speed up growth, development and offer immense opportunities for strengthening the economy through e-commerce coupled with improved productivity and competitiveness as it has become a major distribution channel for goods and services. Our lives are surrounded by the internet in every aspect and altered the way of interaction with our family, friends and life partners, and the meaning of cultural identity as well. Internet is a formidable resource of building knowledge in which the users are highly sensitized with the security and privacy issues, particularly minors and children despite raising awareness. Though it a huge network of networks, it acts as an easy medium to access pornography in children causing a sexually deviant or sexually- addictive and increase in the prevalence of sexually transmitted diseases (STD). Social media and the internet have become an inseparable part of the younger generation's lifestyle. The excessive use of Internet had leads to IA Disorder (IAD) resulting negative impact on physical, mental, social and occupational health impairment to people who are exposed and also to vulnerable population by disabling their time control. This paper emphasized on both positive and negative impacts of Internet in our day to day lives; Psychological profile of addicted people; potential risk on emotional, mental and physical health and possible treatment strategies of IAD.","container-title":"Current Journal of Applied Science and Technology","DOI":"10.9734/cjast/2022/v41i363963","ISSN":"2457-1024","journalAbbreviation":"CJAST","language":"en","page":"12-18","source":"DOI.org (Crossref)","title":"Internet an Integral Part of Human Life in 21st Century: A Review","title-short":"Internet an Integral Part of Human Life in 21st Century","author":[{"family":"Joshi","given":"Renu"},{"family":"Pavithra","given":"N."},{"family":"Singh","given":"C. K."}],"issued":{"date-parts":[["2022",10,14]]}}}],"schema":"https://github.com/citation-style-language/schema/raw/master/csl-citation.json"} </w:instrText>
      </w:r>
      <w:r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[1], [2]</w:t>
      </w:r>
      <w:r w:rsidRPr="005F14BD">
        <w:rPr>
          <w:rFonts w:asciiTheme="minorBidi" w:eastAsia="Arial" w:hAnsiTheme="minorBidi" w:cstheme="minorBidi"/>
          <w:color w:val="000000"/>
          <w:sz w:val="24"/>
          <w:szCs w:val="24"/>
          <w:lang w:val="en-US"/>
        </w:rPr>
        <w:fldChar w:fldCharType="end"/>
      </w:r>
      <w:r w:rsidRPr="005F14BD">
        <w:rPr>
          <w:rFonts w:asciiTheme="minorBidi" w:eastAsia="Arial" w:hAnsiTheme="minorBidi" w:cstheme="minorBidi"/>
          <w:color w:val="000000"/>
          <w:sz w:val="24"/>
          <w:szCs w:val="24"/>
        </w:rPr>
        <w:t xml:space="preserve">. Data dari We Are Social (2023) menunjukkan bahwa 8,01 milyar populasi di dunia, 68% atau 5,8 milyar aktif menggunakan gadget, kemudian pengguna internet 5,16 milyar atau 64,4% populasi, dan 59,4% dari populasi (47,6 milyar) adalah pengguna sosial media. Sementara untuk Indonesia sendiri berada diangka 217 juta untuk pengguna internet, atau 77% dari populasi di Indonesia. Secara trend dari tahun ke tahun selalu ada kenaikan dari jumlah pengguna internet. Kondisi ini bisa berdampak pada hal yang positif karena memudahkan akses informasi, komunikasi, dan berbagai transaksi secara online. Namun, di sisi lain, perkembangan teknologi, khususnya informatika ini juga membawa tantangan baru, salah satunya adalah peningkatan kasus kejahatan dunia maya atau yang lebih dikenal dengan sebutan </w:t>
      </w:r>
      <w:r w:rsidRPr="005F14BD">
        <w:rPr>
          <w:rFonts w:asciiTheme="minorBidi" w:eastAsia="Arial" w:hAnsiTheme="minorBidi" w:cstheme="minorBidi"/>
          <w:i/>
          <w:iCs/>
          <w:color w:val="000000"/>
          <w:sz w:val="24"/>
          <w:szCs w:val="24"/>
        </w:rPr>
        <w:t>cyber crime</w:t>
      </w:r>
      <w:r w:rsidRPr="005F14BD">
        <w:rPr>
          <w:rFonts w:asciiTheme="minorBidi" w:eastAsia="Arial" w:hAnsiTheme="minorBidi" w:cstheme="minorBidi"/>
          <w:i/>
          <w:iCs/>
          <w:color w:val="000000"/>
          <w:sz w:val="24"/>
          <w:szCs w:val="24"/>
          <w:lang w:val="en-US"/>
        </w:rPr>
        <w:t xml:space="preserve"> </w:t>
      </w:r>
      <w:r w:rsidRPr="005F14BD">
        <w:rPr>
          <w:rFonts w:asciiTheme="minorBidi" w:eastAsia="Arial" w:hAnsiTheme="minorBidi" w:cstheme="minorBidi"/>
          <w:i/>
          <w:iCs/>
          <w:color w:val="000000"/>
          <w:sz w:val="24"/>
          <w:szCs w:val="24"/>
          <w:lang w:val="en-US"/>
        </w:rPr>
        <w:fldChar w:fldCharType="begin"/>
      </w:r>
      <w:r w:rsidR="001B3504" w:rsidRPr="005F14BD">
        <w:rPr>
          <w:rFonts w:asciiTheme="minorBidi" w:eastAsia="Arial" w:hAnsiTheme="minorBidi" w:cstheme="minorBidi"/>
          <w:i/>
          <w:iCs/>
          <w:color w:val="000000"/>
          <w:sz w:val="24"/>
          <w:szCs w:val="24"/>
          <w:lang w:val="en-US"/>
        </w:rPr>
        <w:instrText xml:space="preserve"> ADDIN ZOTERO_ITEM CSL_CITATION {"citationID":"klUJIGGV","properties":{"formattedCitation":"[3], [4], [5]","plainCitation":"[3], [4], [5]","noteIndex":0},"citationItems":[{"id":2970,"uris":["http://zotero.org/users/12199149/items/3T4IM7K2"],"itemData":{"id":2970,"type":"article-journal","abstract":"The development of computer technology and the internet provide implications-the implications are significant in the settings and the establishment of regulations in cyber space and cyber laws as well as to the development of crime in cyberspace or often referred to as cybercrimes. Of the various things that need to be emphasized that the internet was not initially designed for tracking and tracinguser behavior, but it is designed for the needs of the military in the face of war the world at that time. Normatively, with the establishment of Law Number 11 Year 2008 On Information and Electronic Transactions as new rules that apply, and all the population is considered to have been knowing. Adoption of the Law on Information and electronic transactions against cybercrime. In the era of industrial Revolution 4.0 is the current utilization of the technology, the more massive the better government agencies, private companies, national banking, center for research and society. Sociological research empirical, then studied at first is secondary data, to then proceeds with the research on primary data lapangam or to the community. The author will give an overview first the definition and the classification of crime is cybercrime, the perpetrators and victims of form and modus operandi as well as how the public reacts to kejehatan cybercrime such. Cybercrime is a criminal activity in the virtual world with a network utilizing the computer as a tool and a network of the internet as a medium. In a broader sense, cybercrime is all the illegal actions committed through a computer network and the internet to get advantage by harming the other party. Then in the narrow sense, cybercrime are all illegal actions that are intended to attack computer security systems and the data processed by a computer system.","container-title":"Scholars International Journal of Law, Crime and Justice","DOI":"10.36348/sijlcj.2023.v06i03.001","ISSN":"26167956, 26173484","issue":"03","journalAbbreviation":"Sch Int J Law Crime Justice","language":"en","page":"141-146","source":"DOI.org (Crossref)","title":"Adoption of the Law on Information and Electronic Transactions against Cyber Crime","volume":"6","author":[{"family":"Aulia","given":"Aulia"}],"issued":{"date-parts":[["2023",3,9]]}}},{"id":2973,"uris":["http://zotero.org/users/12199149/items/FJ759X6X"],"itemData":{"id":2973,"type":"article-journal","abstract":"With the rapid development of information technology such as cloud computing, big data, artificial intelligence and mobile internet, while bringing people many conveniences such as information interaction and online shopping, it has also gradually become a hotbed of new crimes. Traditional crimes are increasingly migrating to the Internet, and new types of cyber crimes are increasingly prominent. At the same time, the illegal crime chain that provides financial supply, technology, promotion, settlement and other assistance for cyber crime has been developing and extending, forming a tangled and complex illegal industrial chain. This paper reveals the current situation of the Internet black market in the new types of cyber-related crimes, explores the characteristics of the Internet black market, analyzes the industrial chain from the perspective of information flow, technology flow and capital flow, takes the information leakage industrial chain as an example, expounds the operation mode of the Internet black market in detail and judges its development trend, and then puts forward the comprehensive governance suggestions, providing reference for relevant departments.","container-title":"SHS Web of Conferences","DOI":"10.1051/shsconf/202316304039","ISSN":"2261-2424","journalAbbreviation":"SHS Web Conf.","language":"en","license":"https://creativecommons.org/licenses/by/4.0/","page":"04039","source":"DOI.org (Crossref)","title":"Analysis of Internet Black Market in New Types of Cyber-related Crime – Taking Personal Information Transaction as an Example","volume":"163","author":[{"family":"Chen","given":"Guangxuan"},{"family":"Huang","given":"Anan"},{"family":"Hu","given":"Bo"},{"family":"Chen","given":"Guangxiao"}],"editor":[{"family":"Erokhin","given":"V."},{"family":"Sun","given":"H."},{"family":"Gaikar Vilas","given":"B."}],"issued":{"date-parts":[["2023"]]}}},{"id":2968,"uris":["http://zotero.org/users/12199149/items/XV5F8Y4M"],"itemData":{"id":2968,"type":"article-journal","abstract":"Technological development, apart from having a positive impact, also has a negative impact. One of the crimes caused by the development and progress of information technology is a crime related to internet applications, which is often referred to as cybercrime. This category of crimes includes all types of crimes as well as their modus operandi, which are carried out by utilizing internet facilities and as a negative effect of using internet applications. The characteristics of cybercrime crimes that do not recognize national territorial boundaries make these crimes inseparable from the role of the Secretariat of the National Central Bureau (NCB)—Interpol Indonesia. NCB-Interpol Indonesia has an important role in conveying information about cyber crimes committed by foreign or Indonesian citizens, obtained from NCBs of other countries, to the competent authorities. The goals and tasks of ICPO-Interpol will be achieved when NCB-Interpol Indonesia participates in fighting cybercrime because they fulfill international obligations regulated by laws and international conventions that apply in Indonesia. Obstacles that arise in tackling cybercrime crimes are related to national borders and jurisdictions, differences in national law making it difficult to determine which law to apply, extradition treaties, and the process of identifying cybercrime perpetrators.","container-title":"Journal on Education","DOI":"10.31004/joe.v5i4.2822","ISSN":"2654-5497, 2655-1365","issue":"4","journalAbbreviation":"joe","language":"id","license":"http://creativecommons.org/licenses/by-sa/4.0","page":"16553-16564","source":"DOI.org (Crossref)","title":"Peran Interpol dalam Penyelesaian Kasus Kejahatan Siber Berdasarkan Konvensi Budapest On Cybercrimes","volume":"5","author":[{"family":"Fadhillah","given":"Siti Aura"},{"family":"Matakupan","given":"Michelle Sharon Anastasia"},{"family":"Mingga","given":"Britney Wilhelmina Berlian"}],"issued":{"date-parts":[["2023",5,2]]}}}],"schema":"https://github.com/citation-style-language/schema/raw/master/csl-citation.json"} </w:instrText>
      </w:r>
      <w:r w:rsidRPr="005F14BD">
        <w:rPr>
          <w:rFonts w:asciiTheme="minorBidi" w:eastAsia="Arial" w:hAnsiTheme="minorBidi" w:cstheme="minorBidi"/>
          <w:i/>
          <w:iCs/>
          <w:color w:val="000000"/>
          <w:sz w:val="24"/>
          <w:szCs w:val="24"/>
          <w:lang w:val="en-US"/>
        </w:rPr>
        <w:fldChar w:fldCharType="separate"/>
      </w:r>
      <w:r w:rsidR="001B3504" w:rsidRPr="005F14BD">
        <w:rPr>
          <w:rFonts w:asciiTheme="minorBidi" w:hAnsiTheme="minorBidi" w:cstheme="minorBidi"/>
          <w:sz w:val="24"/>
          <w:szCs w:val="24"/>
        </w:rPr>
        <w:t>[3], [4], [5]</w:t>
      </w:r>
      <w:r w:rsidRPr="005F14BD">
        <w:rPr>
          <w:rFonts w:asciiTheme="minorBidi" w:eastAsia="Arial" w:hAnsiTheme="minorBidi" w:cstheme="minorBidi"/>
          <w:i/>
          <w:iCs/>
          <w:color w:val="000000"/>
          <w:sz w:val="24"/>
          <w:szCs w:val="24"/>
          <w:lang w:val="en-US"/>
        </w:rPr>
        <w:fldChar w:fldCharType="end"/>
      </w:r>
      <w:r w:rsidRPr="005F14BD">
        <w:rPr>
          <w:rFonts w:asciiTheme="minorBidi" w:eastAsia="Arial" w:hAnsiTheme="minorBidi" w:cstheme="minorBidi"/>
          <w:color w:val="000000"/>
          <w:sz w:val="24"/>
          <w:szCs w:val="24"/>
        </w:rPr>
        <w:t xml:space="preserve">. </w:t>
      </w:r>
    </w:p>
    <w:p w14:paraId="58871A42" w14:textId="77777777" w:rsidR="007A12A1" w:rsidRPr="005F14BD" w:rsidRDefault="00426C08" w:rsidP="005F14BD">
      <w:pPr>
        <w:pBdr>
          <w:top w:val="nil"/>
          <w:left w:val="nil"/>
          <w:bottom w:val="nil"/>
          <w:right w:val="nil"/>
          <w:between w:val="nil"/>
        </w:pBdr>
        <w:spacing w:line="276" w:lineRule="auto"/>
        <w:rPr>
          <w:rFonts w:asciiTheme="minorBidi" w:eastAsia="Arial" w:hAnsiTheme="minorBidi" w:cstheme="minorBidi"/>
          <w:color w:val="000000"/>
          <w:sz w:val="24"/>
          <w:szCs w:val="24"/>
        </w:rPr>
      </w:pPr>
      <w:r w:rsidRPr="005F14BD">
        <w:rPr>
          <w:rFonts w:asciiTheme="minorBidi" w:eastAsia="Arial" w:hAnsiTheme="minorBidi" w:cstheme="minorBidi"/>
          <w:color w:val="000000"/>
          <w:sz w:val="24"/>
          <w:szCs w:val="24"/>
        </w:rPr>
        <w:t>Tentunya, masyarakat secara umum, atau secara khusus untuk generasi muda sangat membutuhkan perhatian, bimbingan dan pendampingan dari orang tua, pendidik, juga pemerintah, karena mereka sangat rentan dalam memperoleh konten-konten atau informasi negatif terutama dari media sosial, yang akan berpengaruh pada cara berperilaku mereka</w:t>
      </w:r>
      <w:r w:rsidR="00E9446E" w:rsidRPr="005F14BD">
        <w:rPr>
          <w:rFonts w:asciiTheme="minorBidi" w:eastAsia="Arial" w:hAnsiTheme="minorBidi" w:cstheme="minorBidi"/>
          <w:color w:val="000000"/>
          <w:sz w:val="24"/>
          <w:szCs w:val="24"/>
          <w:lang w:val="en-US"/>
        </w:rPr>
        <w:t xml:space="preserve"> </w:t>
      </w:r>
      <w:r w:rsidR="00E9446E"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{"citationID":"sReYqPlV","properties":{"formattedCitation":"[6], [7]","plainCitation":"[6], [7]","noteIndex":0},"citationItems":[{"id":2975,"uris":["http://zotero.org/users/12199149/items/LS6SRWHG"],"itemData":{"id":2975,"type":"article-journal","abstract":"One of the key challenges faced by many parents is to manage the pervasiveness of social media in adolescents’ lives and its effects on adolescents’ well-being (e.g., life satisfaction) and illbeing (e.g., depressive symptoms). Parents may manage adolescents’ social media use and social media-induced wellbeing and ill-being through media-specific parenting: parental actions to restrict, regulate, and discuss adolescents’ social media use. Recent evidence suggests that media-specific parenting may reduce adolescents’ anxiety and depressive symptoms and minimize the effects of cyberbullying on adolescents’ depressive symptoms. However, more robust evidence regarding the moderating role of media-specific parenting and the direction of effects has to be established to understand how parents may shape the effects of social media on adolescents’ well-being and ill-being.","container-title":"Current Opinion in Psychology","DOI":"10.1016/j.copsyc.2022.101350","ISSN":"2352250X","journalAbbreviation":"Current Opinion in Psychology","language":"en","page":"101350","source":"DOI.org (Crossref)","title":"Social media, parenting, and well-being","volume":"47","author":[{"family":"Beyens","given":"Ine"},{"family":"Keijsers","given":"Loes"},{"family":"Coyne","given":"Sarah M."}],"issued":{"date-parts":[["2022",10]]}}},{"id":2978,"uris":["http://zotero.org/users/12199149/items/9C269TCC"],"itemData":{"id":2978,"type":"article-journal","container-title":"Social Psychiatry and Psychiatric Epidemiology","DOI":"10.1007/s00127-020-01858-0","ISSN":"0933-7954, 1433-9285","issue":"8","journalAbbreviation":"Soc Psychiatry Psychiatr Epidemiol","language":"en","page":"973-975","source":"DOI.org (Crossref)","title":"Teenagers, screens and social media: a commentary on Orben’s narrative review","title-short":"Teenagers, screens and social media","volume":"55","author":[{"family":"Ferrari","given":"Manuela"},{"family":"Schick","given":"Anita"}],"issued":{"date-parts":[["2020",8]]}}}],"schema":"https://github.com/citation-style-language/schema/raw/master/csl-citation.json"} </w:instrText>
      </w:r>
      <w:r w:rsidR="00E9446E"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[6], [7]</w:t>
      </w:r>
      <w:r w:rsidR="00E9446E" w:rsidRPr="005F14BD">
        <w:rPr>
          <w:rFonts w:asciiTheme="minorBidi" w:eastAsia="Arial" w:hAnsiTheme="minorBidi" w:cstheme="minorBidi"/>
          <w:color w:val="000000"/>
          <w:sz w:val="24"/>
          <w:szCs w:val="24"/>
          <w:lang w:val="en-US"/>
        </w:rPr>
        <w:fldChar w:fldCharType="end"/>
      </w:r>
      <w:r w:rsidRPr="005F14BD">
        <w:rPr>
          <w:rFonts w:asciiTheme="minorBidi" w:eastAsia="Arial" w:hAnsiTheme="minorBidi" w:cstheme="minorBidi"/>
          <w:color w:val="000000"/>
          <w:sz w:val="24"/>
          <w:szCs w:val="24"/>
        </w:rPr>
        <w:t>. Semakin mudahnya akses internet dan penetrasi perangkat digital turut berimplikasi terhadap masyarakat desa dalam ekosistem digital</w:t>
      </w:r>
      <w:r w:rsidR="00E9446E" w:rsidRPr="005F14BD">
        <w:rPr>
          <w:rFonts w:asciiTheme="minorBidi" w:eastAsia="Arial" w:hAnsiTheme="minorBidi" w:cstheme="minorBidi"/>
          <w:color w:val="000000"/>
          <w:sz w:val="24"/>
          <w:szCs w:val="24"/>
          <w:lang w:val="en-US"/>
        </w:rPr>
        <w:t xml:space="preserve"> </w:t>
      </w:r>
      <w:r w:rsidR="00E9446E"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{"citationID":"sd7aYCuJ","properties":{"formattedCitation":"[8]","plainCitation":"[8]","noteIndex":0},"citationItems":[{"id":2980,"uris":["http://zotero.org/users/12199149/items/2FWPP948"],"itemData":{"id":2980,"type":"article-journal","abstract":"The progress of information technology is closely linked to the digital and informatics fields. It has become an integral part of people's lives, from using mobile phones to accessing the internet with its various features and functions. The impact of information technology is not limited to urban areas, as it has also reached rural areas. For instance, Sumbereja village still uses manual methods to gather information. This situation inspired the author to create a website for Sumbereja village, which would enable the wider community to gain a better understanding of the village through the web. To address this issue, the Real Work Lecture Activities of Islamic University 45 Bekasi proposed a work program. The program aimed to create an \"Application of Village Website as a Medium of Information to Introduce the Potential of Sumbereja Village, Pebayuran District.\" This service activity focused on developing a village profile website, which would serve as the main source of village information. The data collection process involved documentation, surveys, and interviews with village officials to provide comprehensive information. The primary objective of this initiative was to provide information to the community and assist village officials in delivering public services that could be easily accessed by the public.","container-title":"An-Nizam","DOI":"10.33558/an-nizam.v2i1.6571","ISSN":"2961-8142","issue":"1","journalAbbreviation":"an-nizam","language":"id","page":"127-134","source":"DOI.org (Crossref)","title":"PENERAPAN WEBSITE DESA SEBAGAI MEDIA INFORMASI PENGENALAN POTENSI DESA SUMBEREJA","volume":"2","author":[{"family":"Sya'bana","given":"Salwa Ibnatisna"},{"family":"Berry","given":"Yunike"},{"family":"Rusham","given":"Rusham"}],"issued":{"date-parts":[["2023",3,15]]}}}],"schema":"https://github.com/citation-style-language/schema/raw/master/csl-citation.json"} </w:instrText>
      </w:r>
      <w:r w:rsidR="00E9446E"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[8]</w:t>
      </w:r>
      <w:r w:rsidR="00E9446E" w:rsidRPr="005F14BD">
        <w:rPr>
          <w:rFonts w:asciiTheme="minorBidi" w:eastAsia="Arial" w:hAnsiTheme="minorBidi" w:cstheme="minorBidi"/>
          <w:color w:val="000000"/>
          <w:sz w:val="24"/>
          <w:szCs w:val="24"/>
          <w:lang w:val="en-US"/>
        </w:rPr>
        <w:fldChar w:fldCharType="end"/>
      </w:r>
      <w:r w:rsidRPr="005F14BD">
        <w:rPr>
          <w:rFonts w:asciiTheme="minorBidi" w:eastAsia="Arial" w:hAnsiTheme="minorBidi" w:cstheme="minorBidi"/>
          <w:color w:val="000000"/>
          <w:sz w:val="24"/>
          <w:szCs w:val="24"/>
        </w:rPr>
        <w:t>. Namun, tingkat literasi digital di kalangan mereka masih cukup rendah, sehingga meningkatkan risiko menjadi korban kejahatan</w:t>
      </w:r>
      <w:r w:rsidR="00E9446E" w:rsidRPr="005F14BD">
        <w:rPr>
          <w:rFonts w:asciiTheme="minorBidi" w:eastAsia="Arial" w:hAnsiTheme="minorBidi" w:cstheme="minorBidi"/>
          <w:color w:val="000000"/>
          <w:sz w:val="24"/>
          <w:szCs w:val="24"/>
          <w:lang w:val="en-US"/>
        </w:rPr>
        <w:t xml:space="preserve"> </w:t>
      </w:r>
      <w:r w:rsidRPr="005F14BD">
        <w:rPr>
          <w:rFonts w:asciiTheme="minorBidi" w:eastAsia="Arial" w:hAnsiTheme="minorBidi" w:cstheme="minorBidi"/>
          <w:i/>
          <w:iCs/>
          <w:color w:val="000000"/>
          <w:sz w:val="24"/>
          <w:szCs w:val="24"/>
        </w:rPr>
        <w:t>cyber</w:t>
      </w:r>
      <w:r w:rsidRPr="005F14BD">
        <w:rPr>
          <w:rFonts w:asciiTheme="minorBidi" w:eastAsia="Arial" w:hAnsiTheme="minorBidi" w:cstheme="minorBidi"/>
          <w:color w:val="000000"/>
          <w:sz w:val="24"/>
          <w:szCs w:val="24"/>
        </w:rPr>
        <w:t xml:space="preserve">. Berdasarkan laman Pusat Informasi Kejahatan Nasional (PUSIKNAS) POLRI (2023) mengungkapkan bahwa sepanjang tahun 2022 sejak 1 Januari sampai 22 Desember, POLRI menindak 8.831 kasus terkait kejahatan siber. POLRI juga menindak 8.372 orang yang menjadi terlapor dalam kejahatan tersebut. Data tersebut secara signifikan dari jumlah kasus di tahun 2021, yang hanya 612 kasus. Peningkatan kasus </w:t>
      </w:r>
      <w:r w:rsidRPr="005F14BD">
        <w:rPr>
          <w:rFonts w:asciiTheme="minorBidi" w:eastAsia="Arial" w:hAnsiTheme="minorBidi" w:cstheme="minorBidi"/>
          <w:i/>
          <w:iCs/>
          <w:color w:val="000000"/>
          <w:sz w:val="24"/>
          <w:szCs w:val="24"/>
        </w:rPr>
        <w:t>cyber crime</w:t>
      </w:r>
      <w:r w:rsidRPr="005F14BD">
        <w:rPr>
          <w:rFonts w:asciiTheme="minorBidi" w:eastAsia="Arial" w:hAnsiTheme="minorBidi" w:cstheme="minorBidi"/>
          <w:color w:val="000000"/>
          <w:sz w:val="24"/>
          <w:szCs w:val="24"/>
        </w:rPr>
        <w:t xml:space="preserve"> tidak hanya berdampak pada kerugian materiil, tetapi juga mengancam keamanan dan privasi individu serta merusak stabilitas sosial dan ekonomi di lingkungan desa</w:t>
      </w:r>
      <w:r w:rsidRPr="005F14BD">
        <w:rPr>
          <w:rFonts w:asciiTheme="minorBidi" w:eastAsia="Arial" w:hAnsiTheme="minorBidi" w:cstheme="minorBidi"/>
          <w:color w:val="000000"/>
          <w:sz w:val="24"/>
          <w:szCs w:val="24"/>
          <w:lang w:val="en-US"/>
        </w:rPr>
        <w:t xml:space="preserve"> </w:t>
      </w:r>
      <w:r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{"citationID":"UzRK7ANg","properties":{"formattedCitation":"[9]","plainCitation":"[9]","noteIndex":0},"citationItems":[{"id":2982,"uris":["http://zotero.org/users/12199149/items/DFF3V3YU"],"itemData":{"id":2982,"type":"article-journal","abstract":"Cybercrime is one of the most signiﬁcant security challenges of the 21st century. However, ofﬁcial statistics do not provide insights into its prevalence and nature. Representative cross-sectional ﬁeld studies may help ﬁll this gap, focusing on differences between urban and rural technology users. We (a) investigated the association between the purpose of computers and other electronic device usage and perceived vulnerability, (b) compared the differences in the purpose of computers or other electronic device use and perceived vulnerability, and (c) compared the perceived cyber victimization between residents of rural and urban areas. We conducted a ﬁeld study that resulted in a representative sample of the Republic of Slovenia in Europe. We found several signiﬁcant differences in the purpose of technology use and perceived cyber victimization. Furthermore, the results indicate that the purpose of technology use is somehow associated with perceived vulnerability in cyberspace; however, such associations are different in cyberspace than in the material world.","container-title":"Sustainability","DOI":"10.3390/su142114487","ISSN":"2071-1050","issue":"21","journalAbbreviation":"Sustainability","language":"en","license":"https://creativecommons.org/licenses/by/4.0/","page":"14487","source":"DOI.org (Crossref)","title":"Country Life in the Digital Era: Comparison of Technology Use and Cybercrime Victimization between Residents of Rural and Urban Environments in Slovenia","title-short":"Country Life in the Digital Era","volume":"14","author":[{"family":"Bernik","given":"Igor"},{"family":"Prislan","given":"Kaja"},{"family":"Mihelič","given":"Anže"}],"issued":{"date-parts":[["2022",11,4]]}}}],"schema":"https://github.com/citation-style-language/schema/raw/master/csl-citation.json"} </w:instrText>
      </w:r>
      <w:r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[9]</w:t>
      </w:r>
      <w:r w:rsidRPr="005F14BD">
        <w:rPr>
          <w:rFonts w:asciiTheme="minorBidi" w:eastAsia="Arial" w:hAnsiTheme="minorBidi" w:cstheme="minorBidi"/>
          <w:color w:val="000000"/>
          <w:sz w:val="24"/>
          <w:szCs w:val="24"/>
          <w:lang w:val="en-US"/>
        </w:rPr>
        <w:fldChar w:fldCharType="end"/>
      </w:r>
      <w:r w:rsidRPr="005F14BD">
        <w:rPr>
          <w:rFonts w:asciiTheme="minorBidi" w:eastAsia="Arial" w:hAnsiTheme="minorBidi" w:cstheme="minorBidi"/>
          <w:color w:val="000000"/>
          <w:sz w:val="24"/>
          <w:szCs w:val="24"/>
        </w:rPr>
        <w:t xml:space="preserve">. </w:t>
      </w:r>
    </w:p>
    <w:p w14:paraId="52074279" w14:textId="77777777" w:rsidR="00335D4E" w:rsidRPr="005F14BD" w:rsidRDefault="00426C08" w:rsidP="005F14BD">
      <w:p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Fenomena meningkatnya kejahatan siber di Indonesia menunjukkan bahwa masyarakat belum memiliki ketahanan digital yang memadai. Masyarakat desa yang awalnya dianggap kurang terpapar teknologi, kini justru berada dalam situasi yang rentan terhadap pemanfaatan internet serta media sosial akan meningkat jika tidak diimbangi dengan pendampingan yang cukup </w:t>
      </w:r>
      <w:r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{"citationID":"EJNuojvG","properties":{"formattedCitation":"[10]","plainCitation":"[10]","noteIndex":0},"citationItems":[{"id":2985,"uris":["http://zotero.org/users/12199149/items/CMKLAV4T"],"itemData":{"id":2985,"type":"article-journal","abstract":"This study aims to develop a digital literacy design based on local wisdom so that it can support social harmony in rural communities in Bangka Regency. The development of this literacy design is motivated by the high accessibility of rural communities to the use of the internet and social media, but it is not accompanied by good digital literacy skills. This study uses the Research and Development (R&amp;D) method by adapting the Thiagarajan development cycle model which consists of four 4-D stages (define, design, develop, and disseminate). At the define stage, observations and interviews were carried out on several informants, the result was that five findings were analyzed and identified for the next stage. In the design stage, eight digital literacy components were obtained which were adapted from the Digital Literacy Across the Curriculum and adapted the Wilbur Schramm matrix format for media development, the result was that there were nine media formats that were relevant to use for local wisdom- based digital literacy. At the development stage, a small-scale test was carried out on 15 respondents, the percentage of the practicality of the media was on average 85.5%, meaning that the media was very practical to use, while in the large-scale test on 30 respondents, an average of 93.7% was obtained, the percentage of practicality the highest is in the aspects of interest and material literacy. Specifically for the development of the material aspects, there are 6 themes that are prioritized to support social harmonization in rural communities in Bangka Regency, including; 1) religious moderation, 2) tolerance, 3) prevention of hoaxes (fake news); 4) hate speech; 5) racial issues, and 6) prevention of the doctrine of religious radicalism.","container-title":"NALAR: Jurnal Peradaban dan Pemikiran Islam","DOI":"10.23971/njppi.v4i2.2490","ISSN":"2598-8999, 2597-9930","issue":"2","journalAbbreviation":"NJPPI","language":"id","page":"106-121","source":"DOI.org (Crossref)","title":"Literasi dan Harmonisasi Sosial: Desain Literasi Digital Berbasis Kearifan Lokal pada Masyarakat Pedesaan","title-short":"Literasi dan Harmonisasi Sosial","volume":"4","author":[{"family":"Wibowo","given":"Ari"},{"family":"Basri","given":"Basri"}],"issued":{"date-parts":[["2020",12,31]]}}}],"schema":"https://github.com/citation-style-language/schema/raw/master/csl-citation.json"} </w:instrText>
      </w:r>
      <w:r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[10]</w:t>
      </w:r>
      <w:r w:rsidRPr="005F14BD">
        <w:rPr>
          <w:rFonts w:asciiTheme="minorBidi" w:eastAsia="Arial" w:hAnsiTheme="minorBidi" w:cstheme="minorBidi"/>
          <w:color w:val="000000"/>
          <w:sz w:val="24"/>
          <w:szCs w:val="24"/>
          <w:lang w:val="en-US"/>
        </w:rPr>
        <w:fldChar w:fldCharType="end"/>
      </w:r>
      <w:r w:rsidR="00C75EFC" w:rsidRPr="005F14BD">
        <w:rPr>
          <w:rFonts w:asciiTheme="minorBidi" w:eastAsia="Arial" w:hAnsiTheme="minorBidi" w:cstheme="minorBidi"/>
          <w:color w:val="000000"/>
          <w:sz w:val="24"/>
          <w:szCs w:val="24"/>
          <w:lang w:val="en-US"/>
        </w:rPr>
        <w:t>. Khususnya untuk kalangan remaja di pedesaan, selain sebagai pengguna aktif media sosial, tetapi juga menjadi sasaran empuk dalam praktik-praktik kejahatan digital seperti penipuan daring</w:t>
      </w:r>
      <w:r w:rsidR="00211AC8" w:rsidRPr="005F14BD">
        <w:rPr>
          <w:rFonts w:asciiTheme="minorBidi" w:eastAsia="Arial" w:hAnsiTheme="minorBidi" w:cstheme="minorBidi"/>
          <w:color w:val="000000"/>
          <w:sz w:val="24"/>
          <w:szCs w:val="24"/>
          <w:lang w:val="en-US"/>
        </w:rPr>
        <w:t xml:space="preserve"> </w:t>
      </w:r>
      <w:r w:rsidR="00211AC8"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{"citationID":"zdxjhVQW","properties":{"formattedCitation":"[11]","plainCitation":"[11]","noteIndex":0},"citationItems":[{"id":2991,"uris":["http://zotero.org/users/12199149/items/YVWXL57Z"],"itemData":{"id":2991,"type":"article-journal","abstract":"Purpose: Romance fraud refers to situations where an individual is deceived for financial gain by someone with whom the victim perceives to be in a romantic relationship. With the increase in internet use, the growth in loneliness, and the increasing engagement in online dating sites during COVID-19, opportunities for romance fraud may have suffered an important increase. This paper analyses changes in romance fraud, loneliness, and internet use during the pandemic.","container-title":"Journal of Financial Crime","DOI":"10.1108/JFC-02-2021-0042","ISSN":"1359-0790, 1359-0790","issue":"2","journalAbbreviation":"JFC","language":"en","license":"https://www.emerald.com/insight/site-policies","page":"460-475","source":"DOI.org (Crossref)","title":"Meeting you was a fake: investigating the increase in romance fraud during COVID-19","title-short":"Meeting you was a fake","volume":"29","author":[{"family":"Buil-Gil","given":"David"},{"family":"Zeng","given":"Yongyu"}],"issued":{"date-parts":[["2022",3,14]]}}}],"schema":"https://github.com/citation-style-language/schema/raw/master/csl-citation.json"} </w:instrText>
      </w:r>
      <w:r w:rsidR="00211AC8"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[11]</w:t>
      </w:r>
      <w:r w:rsidR="00211AC8" w:rsidRPr="005F14BD">
        <w:rPr>
          <w:rFonts w:asciiTheme="minorBidi" w:eastAsia="Arial" w:hAnsiTheme="minorBidi" w:cstheme="minorBidi"/>
          <w:color w:val="000000"/>
          <w:sz w:val="24"/>
          <w:szCs w:val="24"/>
          <w:lang w:val="en-US"/>
        </w:rPr>
        <w:fldChar w:fldCharType="end"/>
      </w:r>
      <w:r w:rsidR="00C75EFC" w:rsidRPr="005F14BD">
        <w:rPr>
          <w:rFonts w:asciiTheme="minorBidi" w:eastAsia="Arial" w:hAnsiTheme="minorBidi" w:cstheme="minorBidi"/>
          <w:color w:val="000000"/>
          <w:sz w:val="24"/>
          <w:szCs w:val="24"/>
          <w:lang w:val="en-US"/>
        </w:rPr>
        <w:t>, konten perjudian terselubung</w:t>
      </w:r>
      <w:r w:rsidR="00211AC8" w:rsidRPr="005F14BD">
        <w:rPr>
          <w:rFonts w:asciiTheme="minorBidi" w:eastAsia="Arial" w:hAnsiTheme="minorBidi" w:cstheme="minorBidi"/>
          <w:color w:val="000000"/>
          <w:sz w:val="24"/>
          <w:szCs w:val="24"/>
          <w:lang w:val="en-US"/>
        </w:rPr>
        <w:t xml:space="preserve"> </w:t>
      </w:r>
      <w:r w:rsidR="00211AC8" w:rsidRPr="005F14BD">
        <w:rPr>
          <w:rFonts w:asciiTheme="minorBidi" w:eastAsia="Arial" w:hAnsiTheme="minorBidi" w:cstheme="minorBidi"/>
          <w:color w:val="000000"/>
          <w:sz w:val="24"/>
          <w:szCs w:val="24"/>
          <w:lang w:val="en-US"/>
        </w:rPr>
        <w:fldChar w:fldCharType="begin"/>
      </w:r>
      <w:r w:rsidR="00F30D74" w:rsidRPr="005F14BD">
        <w:rPr>
          <w:rFonts w:asciiTheme="minorBidi" w:eastAsia="Arial" w:hAnsiTheme="minorBidi" w:cstheme="minorBidi"/>
          <w:color w:val="000000"/>
          <w:sz w:val="24"/>
          <w:szCs w:val="24"/>
          <w:lang w:val="en-US"/>
        </w:rPr>
        <w:instrText xml:space="preserve"> ADDIN ZOTERO_ITEM CSL_CITATION {"citationID":"GeWqLGpv","properties":{"formattedCitation":"[12], [13]","plainCitation":"[12], [13]","noteIndex":0},"citationItems":[{"id":2993,"uris":["http://zotero.org/users/12199149/items/M42XI2U8"],"itemData":{"id":2993,"type":"article-journal","abstract":"Digital leisure has become the main reason young people make use of the Internet and social media. Previous research shows the danger of certain activities in the online environment. Of particular concern are those of a recreational nature, which are more socially accepted by young people; among them one can ﬁnd: online gambling and betting, online shopping and eGames, and the consumption of content on social media. This study aims to identify the behavioural and psychographic variables which impact the probability that young people will perceive the danger of these risky activities. We have carried out a descriptive and causal investigation with non-experimental cross-cutting analysis through a computer-assisted phone survey on a sample of 1500 young people aged between 18 and 35. The results show that all the activities are perceived as dangerous by the majority of those questioned, but a large percentage of young people do not perceive any risk in online gambling, betting and eGames. We have determined several psychographic and behavioural variables to help predict the perception of risk among young people to help deﬁne formal and informal policies for reducing their vulnerability in the event of the inappropriate use of the studied activities.","container-title":"Social Sciences","DOI":"10.3390/socsci12030164","ISSN":"2076-0760","issue":"3","journalAbbreviation":"Social Sciences","language":"en","license":"https://creativecommons.org/licenses/by/4.0/","page":"164","source":"DOI.org (Crossref)","title":"Young People’s Perception of the Danger of Risky Online Activities: Behaviours, Emotions and Attitudes Associated with Their Digital Vulnerability","title-short":"Young People’s Perception of the Danger of Risky Online Activities","volume":"12","author":[{"family":"Carcelén-García","given":"Sonia"},{"family":"Díaz-Bustamante Ventisca","given":"Mónica"},{"family":"Galmes-Cerezo","given":"María"}],"issued":{"date-parts":[["2023",3,9]]}}},{"id":3005,"uris":["http://zotero.org/users/12199149/items/Y87EXP5U"],"itemData":{"id":3005,"type":"article-journal","abstract":"Online slot gambling is now a popular game among students. The behavior of playing online slot gambling can be formed from a determinant of intention called gambling intention. Gambling intention is a component in the individual that is subjective in determining the decision to bring up or not playing gambling behavior. The emergence of gambling intention in students can be influenced by the social environment, especially peers. Peers who show behavior such as playing gambling can encourage individuals to bring up the intention to play gambling. Therefore, researchers are encouraged to find out about the influence of the role of peers on gambling intention in online slot gambling students in Bandung. The research was conducted using quantitative methods with a non-experimental causality research design. The sample obtained was 160 students of online slot gambling players in the city of Bandung, with simple regression data analysis techniques. The measuring instrument used is the Role of Peers compiled by Prameswari et al (2020) based on the view of the role of peers by Shaffer (2009) and gambling intention by Girsang (2016) which is compiled based on Theory Of Planned Behavior by Ajzen (1991). The results of this study indicate the positive influence of the role of peers on gambling intention of 0.526, with a significance value of 0.00 &lt;0.05. It is known that the role of peers has the highest influence on the determinants of perceived behavioral control of 0.390, followed by the determinants of subjective norms of 0.380 and attitude towards behavior of 0.292.","container-title":"Bandung Conference Series: Psychology  Science","DOI":"10.29313/bcsps.v3i1.5305","ISSN":"2828-2191","issue":"1","journalAbbreviation":"BCSPS","language":"id","source":"DOI.org (Crossref)","title":"Pengaruh Peran Teman Sebaya terhadap Gambling Intention pada Mahasiswa Pemain Judi Slot Online di Kota Bandung.","URL":"https://proceedings.unisba.ac.id/index.php/BCSPS/article/view/5305","volume":"3","author":[{"family":"Agrippina","given":"Fathia Kamila"},{"family":"Nugrahawati","given":"Eni Nuraeni"}],"accessed":{"date-parts":[["2025",7,5]]},"issued":{"date-parts":[["2023",1,25]]}}}],"schema":"https://github.com/citation-style-language/schema/raw/master/csl-citation.json"} </w:instrText>
      </w:r>
      <w:r w:rsidR="00211AC8" w:rsidRPr="005F14BD">
        <w:rPr>
          <w:rFonts w:asciiTheme="minorBidi" w:eastAsia="Arial" w:hAnsiTheme="minorBidi" w:cstheme="minorBidi"/>
          <w:color w:val="000000"/>
          <w:sz w:val="24"/>
          <w:szCs w:val="24"/>
          <w:lang w:val="en-US"/>
        </w:rPr>
        <w:fldChar w:fldCharType="separate"/>
      </w:r>
      <w:r w:rsidR="00F30D74" w:rsidRPr="005F14BD">
        <w:rPr>
          <w:rFonts w:asciiTheme="minorBidi" w:hAnsiTheme="minorBidi" w:cstheme="minorBidi"/>
          <w:sz w:val="24"/>
          <w:szCs w:val="24"/>
        </w:rPr>
        <w:t>[12], [13]</w:t>
      </w:r>
      <w:r w:rsidR="00211AC8" w:rsidRPr="005F14BD">
        <w:rPr>
          <w:rFonts w:asciiTheme="minorBidi" w:eastAsia="Arial" w:hAnsiTheme="minorBidi" w:cstheme="minorBidi"/>
          <w:color w:val="000000"/>
          <w:sz w:val="24"/>
          <w:szCs w:val="24"/>
          <w:lang w:val="en-US"/>
        </w:rPr>
        <w:fldChar w:fldCharType="end"/>
      </w:r>
      <w:r w:rsidR="00C75EFC" w:rsidRPr="005F14BD">
        <w:rPr>
          <w:rFonts w:asciiTheme="minorBidi" w:eastAsia="Arial" w:hAnsiTheme="minorBidi" w:cstheme="minorBidi"/>
          <w:color w:val="000000"/>
          <w:sz w:val="24"/>
          <w:szCs w:val="24"/>
          <w:lang w:val="en-US"/>
        </w:rPr>
        <w:t>, hingga paparan informasi hoaks</w:t>
      </w:r>
      <w:r w:rsidR="00211AC8" w:rsidRPr="005F14BD">
        <w:rPr>
          <w:rFonts w:asciiTheme="minorBidi" w:eastAsia="Arial" w:hAnsiTheme="minorBidi" w:cstheme="minorBidi"/>
          <w:color w:val="000000"/>
          <w:sz w:val="24"/>
          <w:szCs w:val="24"/>
          <w:lang w:val="en-US"/>
        </w:rPr>
        <w:t xml:space="preserve"> </w:t>
      </w:r>
      <w:r w:rsidR="00211AC8" w:rsidRPr="005F14BD">
        <w:rPr>
          <w:rFonts w:asciiTheme="minorBidi" w:eastAsia="Arial" w:hAnsiTheme="minorBidi" w:cstheme="minorBidi"/>
          <w:color w:val="000000"/>
          <w:sz w:val="24"/>
          <w:szCs w:val="24"/>
          <w:lang w:val="en-US"/>
        </w:rPr>
        <w:fldChar w:fldCharType="begin"/>
      </w:r>
      <w:r w:rsidR="00F30D74" w:rsidRPr="005F14BD">
        <w:rPr>
          <w:rFonts w:asciiTheme="minorBidi" w:eastAsia="Arial" w:hAnsiTheme="minorBidi" w:cstheme="minorBidi"/>
          <w:color w:val="000000"/>
          <w:sz w:val="24"/>
          <w:szCs w:val="24"/>
          <w:lang w:val="en-US"/>
        </w:rPr>
        <w:instrText xml:space="preserve"> ADDIN ZOTERO_ITEM CSL_CITATION {"citationID":"LVshaSMP","properties":{"formattedCitation":"[14], [15]","plainCitation":"[14], [15]","noteIndex":0},"citationItems":[{"id":2987,"uris":["http://zotero.org/users/12199149/items/V8Q6W368"],"itemData":{"id":2987,"type":"article-journal","abstract":"Social media is a very vulnerable medium for the spread of hoax information. Based on various research survey references, social media currently remains the main source of circulating hoaxes. Ironically, many hoax information that is spread can cause unrest, conflict, slander, overthrow each other, and excessive fear. On the other hand, the characteristics of social media make it easier for users to share information on their social networks. With a description of the problem conditions regarding the spread of hoax information that is very complex, it is necessary to increase social media users' awareness and information literacy. However, the strategy to increase the awareness of social media users is not easy to formulate. In advance, it is necessary to know the biggest motives of social media users in receiving and redistributing hoax information. Based on research using a quantitative approach through a cross-sectional survey strategy, it has been found that the motives that most often underlie social media users in receiving hoax information are dominated by the information exposure process motive and the viral information motive. In addition, someone's motive for sharing hoax information is the motive for low information literacy and cultural motives for sharing information.","container-title":"Jurnal Studi Sosial dan Politik","DOI":"10.19109/jssp.v6i1.12238","ISSN":"2597-8764, 2597-8756","issue":"1","journalAbbreviation":"jssp","language":"en","license":"http://creativecommons.org/licenses/by-sa/4.0","page":"80-100","source":"DOI.org (Crossref)","title":"Social Media User in Receiving and Sharing Hoax Information: Overview from Motivation Level","title-short":"Social Media User in Receiving and Sharing Hoax Information","volume":"6","author":[{"family":"Arisanty","given":"Melisa"},{"family":"Febrina","given":"Niken"},{"family":"Wiradharma","given":"Gunawan"},{"family":"Ginting","given":"Eraskaita"}],"issued":{"date-parts":[["2022",6,30]]}}},{"id":2989,"uris":["http://zotero.org/users/12199149/items/MSPUV8PV"],"itemData":{"id":2989,"type":"article-journal","abstract":"Advances in information and communication technology have an impact in terms of delivering information that runs so fast and can be accessed through social media such as Facebook, Twitter or mobile phone messages such as WhatsApp and others. Due to this progress, social media users cannot filter properly regarding the truth of the news that will be received or disseminated so that it gives birth to hoax news. The criminal responsibility for spreading hoax news is contained in the article referring to the provisions of Article 28 paragraph (1) 45A paragraph (1) of the Constitution of the Republic of Indonesia Number 19 of 2016. In the process of proving the crime of spreading hoaxes in online media, additional evidence is contained in Article 5 of the ITE Law concerning Electronic Information and Electronic Documents and/or printed results. Factors that influence the spread of hoaxes are curiosity, weak journalism, weak economic factors, the emergence of unofficial media, the low quality of media literacy. Prevention of hoax news by means of media literacy so that they have useful skills in processing, accessing, analyzing information and evaluating any information that is obtained or wants to be disseminated by social media. So that social media users can think critically about what they see and read so that it will give birth to a social media order that has etiquette.","container-title":"JLCEdu (Journal of Learning and Character Education)","DOI":"10.56327/jlcedu.v2i2.45","ISSN":"2776-1207, 2776-1215","issue":"2","journalAbbreviation":"JLCEdu","language":"en","license":"https://creativecommons.org/licenses/by-sa/4.0","page":"69-74","source":"DOI.org (Crossref)","title":"CRIMINAL LIABILITY FOR SPREADING HOAX NEWS THROUGH ELECTRONIC MEDIA IN THE PERSPECTIVE OF LAW NUMBER 19 YEAR 2016","volume":"2","author":[{"family":"Sinthiya","given":"Ida Ayu Putu Anggie"}],"issued":{"date-parts":[["2022",11,29]]}}}],"schema":"https://github.com/citation-style-language/schema/raw/master/csl-citation.json"} </w:instrText>
      </w:r>
      <w:r w:rsidR="00211AC8" w:rsidRPr="005F14BD">
        <w:rPr>
          <w:rFonts w:asciiTheme="minorBidi" w:eastAsia="Arial" w:hAnsiTheme="minorBidi" w:cstheme="minorBidi"/>
          <w:color w:val="000000"/>
          <w:sz w:val="24"/>
          <w:szCs w:val="24"/>
          <w:lang w:val="en-US"/>
        </w:rPr>
        <w:fldChar w:fldCharType="separate"/>
      </w:r>
      <w:r w:rsidR="00F30D74" w:rsidRPr="005F14BD">
        <w:rPr>
          <w:rFonts w:asciiTheme="minorBidi" w:hAnsiTheme="minorBidi" w:cstheme="minorBidi"/>
          <w:sz w:val="24"/>
          <w:szCs w:val="24"/>
        </w:rPr>
        <w:t>[14], [15]</w:t>
      </w:r>
      <w:r w:rsidR="00211AC8" w:rsidRPr="005F14BD">
        <w:rPr>
          <w:rFonts w:asciiTheme="minorBidi" w:eastAsia="Arial" w:hAnsiTheme="minorBidi" w:cstheme="minorBidi"/>
          <w:color w:val="000000"/>
          <w:sz w:val="24"/>
          <w:szCs w:val="24"/>
          <w:lang w:val="en-US"/>
        </w:rPr>
        <w:fldChar w:fldCharType="end"/>
      </w:r>
      <w:r w:rsidR="00C75EFC" w:rsidRPr="005F14BD">
        <w:rPr>
          <w:rFonts w:asciiTheme="minorBidi" w:eastAsia="Arial" w:hAnsiTheme="minorBidi" w:cstheme="minorBidi"/>
          <w:color w:val="000000"/>
          <w:sz w:val="24"/>
          <w:szCs w:val="24"/>
          <w:lang w:val="en-US"/>
        </w:rPr>
        <w:t xml:space="preserve"> yang dapat mempengaruhi sikap dan perilaku sosial mereka. </w:t>
      </w:r>
    </w:p>
    <w:p w14:paraId="7B8DF664" w14:textId="77777777" w:rsidR="00AE7E36" w:rsidRPr="005F14BD" w:rsidRDefault="00426C08" w:rsidP="005F14BD">
      <w:p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Di tengah keterbatasan akses terhadap edukasi digital ini, masyarakat desa membutuhkan pendekatan edukatif yang adaptif, partisipatif, dan berbasis komunitas sebagai upaya pencegahan sekaligus pemberdayaan </w:t>
      </w:r>
      <w:r w:rsidRPr="005F14BD">
        <w:rPr>
          <w:rFonts w:asciiTheme="minorBidi" w:eastAsia="Arial" w:hAnsiTheme="minorBidi" w:cstheme="minorBidi"/>
          <w:color w:val="000000"/>
          <w:sz w:val="24"/>
          <w:szCs w:val="24"/>
          <w:lang w:val="en-US"/>
        </w:rPr>
        <w:fldChar w:fldCharType="begin"/>
      </w:r>
      <w:r w:rsidR="001B3504" w:rsidRPr="005F14BD">
        <w:rPr>
          <w:rFonts w:asciiTheme="minorBidi" w:eastAsia="Arial" w:hAnsiTheme="minorBidi" w:cstheme="minorBidi"/>
          <w:color w:val="000000"/>
          <w:sz w:val="24"/>
          <w:szCs w:val="24"/>
          <w:lang w:val="en-US"/>
        </w:rPr>
        <w:instrText xml:space="preserve"> ADDIN ZOTERO_ITEM CSL_CITATION {"citationID":"dsiCLFHs","properties":{"formattedCitation":"[12]","plainCitation":"[12]","noteIndex":0},"citationItems":[{"id":2993,"uris":["http://zotero.org/users/12199149/items/M42XI2U8"],"itemData":{"id":2993,"type":"article-journal","abstract":"Digital leisure has become the main reason young people make use of the Internet and social media. Previous research shows the danger of certain activities in the online environment. Of particular concern are those of a recreational nature, which are more socially accepted by young people; among them one can ﬁnd: online gambling and betting, online shopping and eGames, and the consumption of content on social media. This study aims to identify the behavioural and psychographic variables which impact the probability that young people will perceive the danger of these risky activities. We have carried out a descriptive and causal investigation with non-experimental cross-cutting analysis through a computer-assisted phone survey on a sample of 1500 young people aged between 18 and 35. The results show that all the activities are perceived as dangerous by the majority of those questioned, but a large percentage of young people do not perceive any risk in online gambling, betting and eGames. We have determined several psychographic and behavioural variables to help predict the perception of risk among young people to help deﬁne formal and informal policies for reducing their vulnerability in the event of the inappropriate use of the studied activities.","container-title":"Social Sciences","DOI":"10.3390/socsci12030164","ISSN":"2076-0760","issue":"3","journalAbbreviation":"Social Sciences","language":"en","license":"https://creativecommons.org/licenses/by/4.0/","page":"164","source":"DOI.org (Crossref)","title":"Young People’s Perception of the Danger of Risky Online Activities: Behaviours, Emotions and Attitudes Associated with Their Digital Vulnerability","title-short":"Young People’s Perception of the Danger of Risky Online Activities","volume":"12","author":[{"family":"Carcelén-García","given":"Sonia"},{"family":"Díaz-Bustamante Ventisca","given":"Mónica"},{"family":"Galmes-Cerezo","given":"María"}],"issued":{"date-parts":[["2023",3,9]]}}}],"schema":"https://github.com/citation-style-language/schema/raw/master/csl-citation.json"} </w:instrText>
      </w:r>
      <w:r w:rsidRPr="005F14BD">
        <w:rPr>
          <w:rFonts w:asciiTheme="minorBidi" w:eastAsia="Arial" w:hAnsiTheme="minorBidi" w:cstheme="minorBidi"/>
          <w:color w:val="000000"/>
          <w:sz w:val="24"/>
          <w:szCs w:val="24"/>
          <w:lang w:val="en-US"/>
        </w:rPr>
        <w:fldChar w:fldCharType="separate"/>
      </w:r>
      <w:r w:rsidR="001B3504" w:rsidRPr="005F14BD">
        <w:rPr>
          <w:rFonts w:asciiTheme="minorBidi" w:hAnsiTheme="minorBidi" w:cstheme="minorBidi"/>
          <w:sz w:val="24"/>
          <w:szCs w:val="24"/>
        </w:rPr>
        <w:t>[12]</w:t>
      </w:r>
      <w:r w:rsidRPr="005F14BD">
        <w:rPr>
          <w:rFonts w:asciiTheme="minorBidi" w:eastAsia="Arial" w:hAnsiTheme="minorBidi" w:cstheme="minorBidi"/>
          <w:color w:val="000000"/>
          <w:sz w:val="24"/>
          <w:szCs w:val="24"/>
          <w:lang w:val="en-US"/>
        </w:rPr>
        <w:fldChar w:fldCharType="end"/>
      </w:r>
      <w:r w:rsidRPr="005F14BD">
        <w:rPr>
          <w:rFonts w:asciiTheme="minorBidi" w:eastAsia="Arial" w:hAnsiTheme="minorBidi" w:cstheme="minorBidi"/>
          <w:color w:val="000000"/>
          <w:sz w:val="24"/>
          <w:szCs w:val="24"/>
          <w:lang w:val="en-US"/>
        </w:rPr>
        <w:t xml:space="preserve">. Dalam </w:t>
      </w:r>
      <w:r w:rsidR="00E2257D" w:rsidRPr="005F14BD">
        <w:rPr>
          <w:rFonts w:asciiTheme="minorBidi" w:eastAsia="Arial" w:hAnsiTheme="minorBidi" w:cstheme="minorBidi"/>
          <w:color w:val="000000"/>
          <w:sz w:val="24"/>
          <w:szCs w:val="24"/>
        </w:rPr>
        <w:t xml:space="preserve">konteks ini, perlindungan dan penguatan literasi digital menjadi sangat penting sebagai langkah </w:t>
      </w:r>
      <w:r w:rsidR="00E2257D" w:rsidRPr="005F14BD">
        <w:rPr>
          <w:rFonts w:asciiTheme="minorBidi" w:eastAsia="Arial" w:hAnsiTheme="minorBidi" w:cstheme="minorBidi"/>
          <w:color w:val="000000"/>
          <w:sz w:val="24"/>
          <w:szCs w:val="24"/>
        </w:rPr>
        <w:lastRenderedPageBreak/>
        <w:t>preventif untuk mengurangi risiko kejahatan dunia maya</w:t>
      </w:r>
      <w:r w:rsidRPr="005F14BD">
        <w:rPr>
          <w:rFonts w:asciiTheme="minorBidi" w:eastAsia="Arial" w:hAnsiTheme="minorBidi" w:cstheme="minorBidi"/>
          <w:color w:val="000000"/>
          <w:sz w:val="24"/>
          <w:szCs w:val="24"/>
          <w:lang w:val="en-US"/>
        </w:rPr>
        <w:t xml:space="preserve"> </w:t>
      </w:r>
      <w:r w:rsidRPr="005F14BD">
        <w:rPr>
          <w:rFonts w:asciiTheme="minorBidi" w:eastAsia="Arial" w:hAnsiTheme="minorBidi" w:cstheme="minorBidi"/>
          <w:color w:val="000000"/>
          <w:sz w:val="24"/>
          <w:szCs w:val="24"/>
          <w:lang w:val="en-US"/>
        </w:rPr>
        <w:fldChar w:fldCharType="begin"/>
      </w:r>
      <w:r w:rsidR="00F30D74" w:rsidRPr="005F14BD">
        <w:rPr>
          <w:rFonts w:asciiTheme="minorBidi" w:eastAsia="Arial" w:hAnsiTheme="minorBidi" w:cstheme="minorBidi"/>
          <w:color w:val="000000"/>
          <w:sz w:val="24"/>
          <w:szCs w:val="24"/>
          <w:lang w:val="en-US"/>
        </w:rPr>
        <w:instrText xml:space="preserve"> ADDIN ZOTERO_ITEM CSL_CITATION {"citationID":"GCUscAet","properties":{"formattedCitation":"[16], [17]","plainCitation":"[16], [17]","noteIndex":0},"citationItems":[{"id":2998,"uris":["http://zotero.org/users/12199149/items/K2A57DLY"],"itemData":{"id":2998,"type":"article-journal","abstract":"Pentingnya edukasi literasi digital menjadi suatu keniscayaan di era digital ini. Sebagai bagian dari komunitas yang terus berinteraksi dalam ekosistem digital, upaya untuk membekali para pendidik terkait keamanan bermedia digital perlu dilakukan dalam upaya mendukung literasi digital tersebut. Kominfo Bersama dengan Japelidi dan SiberKreasi meluncurkan Roadmap Literasi Digital 2021-2024, dimana salah satu modul empat pilarnya adalah aman bermedia digital. Pelaksanaan PkM ini merupakan salah satu upaya untuk mendukung upaya sosialisasi tersebut. Mitra kegiatan adalah GKY Puri Indah sub bidang misi, yang menaungi pelayanan bimbel dan panti asuhan. Peserta terdiri dari 35 guru dan pengurus panti, yang terlibat secara aktif dengan anak-anak dibawah bimbingan mereka. Sebagai bagian dari literasi digital, edukasi E-Safety terkait keamanan digital dilakukan dalam bentuk webinar yang kemudian diarahkan dalam kelompok diskusi dimana fasilitator memfasilitasi kegiatan diskusi dan memberikan observasi. Hasil pelaksanaan kegiatan menunjukkan rendahnya pemahaman akan keamanan berinteraksi di dunia digital di kalangan peserta, tingginya pengalaman interaksi yang dialami secara langsung terkait penipuan digital, tidak adanya pembekalan mengenai E-Safety sebelumnya, dan terdapat beberapa cyber risk terkait Eksploitasi seksual anak online (ESA) yang telah dialami anak didik mereka. Materi pendukung terkait E-Safety dan berbagai sumber ajar juga dibagikan untuk membekali para peserta dalam mensosialisasikan dan menerapkan E-Safety bagi anak didik mereka. \n  \nKata Kunci : cyber risk, bahan ajar, E-Safety, literasi digital, resiliansi","container-title":"Prosiding Konferensi Nasional Pengabdian Kepada Masyarakat dan Corporate Social Responsibility (PKM-CSR)","DOI":"10.37695/pkmcsr.v5i0.1621","ISSN":"2655-3570","journalAbbreviation":"pkmcsr","language":"id","page":"1-10","source":"DOI.org (Crossref)","title":"Literasi Digital: Mengenal Cyber Risk dan Aman Dalam Bermedia Digital","title-short":"Literasi Digital","volume":"5","author":[{"family":"Niyu","given":"Niyu"},{"family":"Gerungan","given":"Azalia"}],"issued":{"date-parts":[["2022",12,16]]}}},{"id":3000,"uris":["http://zotero.org/users/12199149/items/QUSIQXZJ"],"itemData":{"id":3000,"type":"article-journal","abstract":"The purpose of this article is to make the reader aware of the concept of cyber security and of the importance of establishing cyber data protection systems that we currently manage. Cyber-attacks have experienced a continuous upward trend in recent years, being targeted at both personal computer systems, computer systems managed by companies or computer systems managed by state institutions, as such cyber security has become a necessity for any user, provider, or consumer of cyber data.","container-title":"International Journal of Legal and Social Order","DOI":"10.55516/ijlso.v1i1.83","ISSN":"2821-4161, 2810-4188","issue":"1","journalAbbreviation":"IJLSO","language":"en","license":"https://creativecommons.org/licenses/by-nc/4.0","source":"DOI.org (Crossref)","title":"PREVENTION OF COMPUTER CRIME THROUGH KNOWLEDGE OF THE CONCEPT OF CYBER SECURITY","URL":"https://ijlso.ccdsara.ro/index.php/international-journal-of-legal-a/article/view/83","volume":"1","author":[{"family":"Pop","given":"Ionuț– Andrei"}],"accessed":{"date-parts":[["2025",7,3]]},"issued":{"date-parts":[["2022",12,27]]}}}],"schema":"https://github.com/citation-style-language/schema/raw/master/csl-citation.json"} </w:instrText>
      </w:r>
      <w:r w:rsidRPr="005F14BD">
        <w:rPr>
          <w:rFonts w:asciiTheme="minorBidi" w:eastAsia="Arial" w:hAnsiTheme="minorBidi" w:cstheme="minorBidi"/>
          <w:color w:val="000000"/>
          <w:sz w:val="24"/>
          <w:szCs w:val="24"/>
          <w:lang w:val="en-US"/>
        </w:rPr>
        <w:fldChar w:fldCharType="separate"/>
      </w:r>
      <w:r w:rsidR="00F30D74" w:rsidRPr="005F14BD">
        <w:rPr>
          <w:rFonts w:asciiTheme="minorBidi" w:hAnsiTheme="minorBidi" w:cstheme="minorBidi"/>
          <w:sz w:val="24"/>
          <w:szCs w:val="24"/>
        </w:rPr>
        <w:t>[16], [17]</w:t>
      </w:r>
      <w:r w:rsidRPr="005F14BD">
        <w:rPr>
          <w:rFonts w:asciiTheme="minorBidi" w:eastAsia="Arial" w:hAnsiTheme="minorBidi" w:cstheme="minorBidi"/>
          <w:color w:val="000000"/>
          <w:sz w:val="24"/>
          <w:szCs w:val="24"/>
          <w:lang w:val="en-US"/>
        </w:rPr>
        <w:fldChar w:fldCharType="end"/>
      </w:r>
      <w:r w:rsidR="00E2257D" w:rsidRPr="005F14BD">
        <w:rPr>
          <w:rFonts w:asciiTheme="minorBidi" w:eastAsia="Arial" w:hAnsiTheme="minorBidi" w:cstheme="minorBidi"/>
          <w:color w:val="000000"/>
          <w:sz w:val="24"/>
          <w:szCs w:val="24"/>
        </w:rPr>
        <w:t>. Desa Pacarejo, yang terletak di Kecamatan Semanu, Gunung Kidul, merupakan salah satu contoh daerah pedesaan yang mulai merasakan dampak dari perkembangan teknologi informasi. Menurut keterangan Adhimas Cenly, ketua Karang Taruna di salah satu Dusun yang ada di Pacarejo, memang hadirnya teknologi membawa dampak yang kurang baik di kalangan anak-anak dan remaja, bermain game, bahkan permainan yang lebih seperti judi (</w:t>
      </w:r>
      <w:r w:rsidR="00E2257D" w:rsidRPr="005F14BD">
        <w:rPr>
          <w:rFonts w:asciiTheme="minorBidi" w:eastAsia="Arial" w:hAnsiTheme="minorBidi" w:cstheme="minorBidi"/>
          <w:i/>
          <w:iCs/>
          <w:color w:val="000000"/>
          <w:sz w:val="24"/>
          <w:szCs w:val="24"/>
        </w:rPr>
        <w:t>slot</w:t>
      </w:r>
      <w:r w:rsidR="00E2257D" w:rsidRPr="005F14BD">
        <w:rPr>
          <w:rFonts w:asciiTheme="minorBidi" w:eastAsia="Arial" w:hAnsiTheme="minorBidi" w:cstheme="minorBidi"/>
          <w:color w:val="000000"/>
          <w:sz w:val="24"/>
          <w:szCs w:val="24"/>
        </w:rPr>
        <w:t xml:space="preserve">) juga cukup meresahkan di kalangan anak muda. Selain itu, bentuk kejahatan lain turut dirasakan oleh masyarakat di Desa Pacarejo seperti, penipuan di media sosial sering dialami oleh masyarakat setempat. Berdasarkan analisis situasi di atas, fokus dari pengabdian masyarakat ini difokuskan pada peningkatan literasi digital di Desa Pacarejo. Program pengabdian ini berkolaborasi dengan mitra yaitu Karang Taruna yang ada di Desa Pacarejo. Merujuk pada informasi awal yang diperoleh melalui observasi awal, yaitu Ketua Karang Taruna Desa Pacarejo, mengungkapkan bahwa di Desa Pacarejo tersebut ada 28 Padukuhan yang setiap padukuhan memiliki sub-Karang Tarunanya, sehingga target yang disasar dalam pengabdian masyarakat ini adalah para remaja di Karang Taruna. Pengabdian ini akan memberikan pemahaman yang cukup tentang penggunaan teknologi informasi secara aman dan bertanggung jawab, diharapkan masyarakat dapat lebih waspada dan mampu menghindari jebakan serta ancaman </w:t>
      </w:r>
      <w:r w:rsidR="00E2257D" w:rsidRPr="005F14BD">
        <w:rPr>
          <w:rFonts w:asciiTheme="minorBidi" w:eastAsia="Arial" w:hAnsiTheme="minorBidi" w:cstheme="minorBidi"/>
          <w:i/>
          <w:iCs/>
          <w:color w:val="000000"/>
          <w:sz w:val="24"/>
          <w:szCs w:val="24"/>
        </w:rPr>
        <w:t>cyber crime</w:t>
      </w:r>
      <w:r w:rsidR="00E2257D" w:rsidRPr="005F14BD">
        <w:rPr>
          <w:rFonts w:asciiTheme="minorBidi" w:eastAsia="Arial" w:hAnsiTheme="minorBidi" w:cstheme="minorBidi"/>
          <w:color w:val="000000"/>
          <w:sz w:val="24"/>
          <w:szCs w:val="24"/>
        </w:rPr>
        <w:t xml:space="preserve"> yang semakin canggih dan meresahkan. Melalui program penguatan literasi digital yang terstruktur dan berkelanjutan, diharapkan Desa Pacarejo dapat menjadi contoh dalam membangun ketahanan siber di tingkat lokal, sehingga mampu mengurangi tingkat risiko </w:t>
      </w:r>
      <w:r w:rsidR="00E2257D" w:rsidRPr="005F14BD">
        <w:rPr>
          <w:rFonts w:asciiTheme="minorBidi" w:eastAsia="Arial" w:hAnsiTheme="minorBidi" w:cstheme="minorBidi"/>
          <w:i/>
          <w:iCs/>
          <w:color w:val="000000"/>
          <w:sz w:val="24"/>
          <w:szCs w:val="24"/>
        </w:rPr>
        <w:t>cyber crime</w:t>
      </w:r>
      <w:r w:rsidR="00E2257D" w:rsidRPr="005F14BD">
        <w:rPr>
          <w:rFonts w:asciiTheme="minorBidi" w:eastAsia="Arial" w:hAnsiTheme="minorBidi" w:cstheme="minorBidi"/>
          <w:color w:val="000000"/>
          <w:sz w:val="24"/>
          <w:szCs w:val="24"/>
        </w:rPr>
        <w:t xml:space="preserve"> serta meningkatkan kesejahteraan dan keamanan digital bagi seluruh masyarakatnya</w:t>
      </w:r>
      <w:r w:rsidRPr="005F14BD">
        <w:rPr>
          <w:rFonts w:asciiTheme="minorBidi" w:eastAsia="Arial" w:hAnsiTheme="minorBidi" w:cstheme="minorBidi"/>
          <w:color w:val="000000"/>
          <w:sz w:val="24"/>
          <w:szCs w:val="24"/>
          <w:lang w:val="en-US"/>
        </w:rPr>
        <w:t>. Dalam pengabdian masyarakat ini, terdapat beberapa masalah yang menjadi prioritas, diantaranya:</w:t>
      </w:r>
    </w:p>
    <w:p w14:paraId="103263C0" w14:textId="77777777" w:rsidR="00AE7E36" w:rsidRPr="005F14BD" w:rsidRDefault="00426C08" w:rsidP="005F14BD">
      <w:pPr>
        <w:pStyle w:val="ListParagraph"/>
        <w:numPr>
          <w:ilvl w:val="0"/>
          <w:numId w:val="4"/>
        </w:num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Oemahaman tentang keamana </w:t>
      </w:r>
      <w:r w:rsidRPr="005F14BD">
        <w:rPr>
          <w:rFonts w:asciiTheme="minorBidi" w:eastAsia="Arial" w:hAnsiTheme="minorBidi" w:cstheme="minorBidi"/>
          <w:i/>
          <w:iCs/>
          <w:color w:val="000000"/>
          <w:sz w:val="24"/>
          <w:szCs w:val="24"/>
          <w:lang w:val="en-US"/>
        </w:rPr>
        <w:t xml:space="preserve">online, </w:t>
      </w:r>
      <w:r w:rsidRPr="005F14BD">
        <w:rPr>
          <w:rFonts w:asciiTheme="minorBidi" w:eastAsia="Arial" w:hAnsiTheme="minorBidi" w:cstheme="minorBidi"/>
          <w:color w:val="000000"/>
          <w:sz w:val="24"/>
          <w:szCs w:val="24"/>
          <w:lang w:val="en-US"/>
        </w:rPr>
        <w:t xml:space="preserve">artinya perlu adanya pemaaman yang cukup tentang pentingnya keamana  </w:t>
      </w:r>
      <w:r w:rsidRPr="005F14BD">
        <w:rPr>
          <w:rFonts w:asciiTheme="minorBidi" w:eastAsia="Arial" w:hAnsiTheme="minorBidi" w:cstheme="minorBidi"/>
          <w:i/>
          <w:iCs/>
          <w:color w:val="000000"/>
          <w:sz w:val="24"/>
          <w:szCs w:val="24"/>
          <w:lang w:val="en-US"/>
        </w:rPr>
        <w:t xml:space="preserve">online, </w:t>
      </w:r>
      <w:r w:rsidRPr="005F14BD">
        <w:rPr>
          <w:rFonts w:asciiTheme="minorBidi" w:eastAsia="Arial" w:hAnsiTheme="minorBidi" w:cstheme="minorBidi"/>
          <w:color w:val="000000"/>
          <w:sz w:val="24"/>
          <w:szCs w:val="24"/>
          <w:lang w:val="en-US"/>
        </w:rPr>
        <w:t xml:space="preserve">termasuk cara melindungi data pribadi, mengenali ancamana </w:t>
      </w:r>
      <w:r w:rsidRPr="005F14BD">
        <w:rPr>
          <w:rFonts w:asciiTheme="minorBidi" w:eastAsia="Arial" w:hAnsiTheme="minorBidi" w:cstheme="minorBidi"/>
          <w:i/>
          <w:iCs/>
          <w:color w:val="000000"/>
          <w:sz w:val="24"/>
          <w:szCs w:val="24"/>
          <w:lang w:val="en-US"/>
        </w:rPr>
        <w:t xml:space="preserve">cyber, </w:t>
      </w:r>
      <w:r w:rsidRPr="005F14BD">
        <w:rPr>
          <w:rFonts w:asciiTheme="minorBidi" w:eastAsia="Arial" w:hAnsiTheme="minorBidi" w:cstheme="minorBidi"/>
          <w:color w:val="000000"/>
          <w:sz w:val="24"/>
          <w:szCs w:val="24"/>
          <w:lang w:val="en-US"/>
        </w:rPr>
        <w:t xml:space="preserve">dan mengambil tindakan preventif seperti penggunaan kata sandi yang kuat, kehati-hatian dalam berbagi informasi pribadi, dan penggunaan perangkat lunak untuk keamanan. </w:t>
      </w:r>
    </w:p>
    <w:p w14:paraId="78297551" w14:textId="77777777" w:rsidR="00AE7E36" w:rsidRPr="005F14BD" w:rsidRDefault="00426C08" w:rsidP="005F14BD">
      <w:pPr>
        <w:pStyle w:val="ListParagraph"/>
        <w:numPr>
          <w:ilvl w:val="0"/>
          <w:numId w:val="4"/>
        </w:num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Kecanduan media sosial yang berlebihan, yang dapat berdampak negatif pada kesehatan mental, interaksi sosial, dan produktivitas. Sehingga penting untuk memberikan pemahaman tentang penggunaan teknologi yang seimbang dan menyediakan strategi untuk pengelolaan waktu </w:t>
      </w:r>
      <w:r w:rsidRPr="005F14BD">
        <w:rPr>
          <w:rFonts w:asciiTheme="minorBidi" w:eastAsia="Arial" w:hAnsiTheme="minorBidi" w:cstheme="minorBidi"/>
          <w:i/>
          <w:iCs/>
          <w:color w:val="000000"/>
          <w:sz w:val="24"/>
          <w:szCs w:val="24"/>
          <w:lang w:val="en-US"/>
        </w:rPr>
        <w:t xml:space="preserve">online </w:t>
      </w:r>
      <w:r w:rsidRPr="005F14BD">
        <w:rPr>
          <w:rFonts w:asciiTheme="minorBidi" w:eastAsia="Arial" w:hAnsiTheme="minorBidi" w:cstheme="minorBidi"/>
          <w:color w:val="000000"/>
          <w:sz w:val="24"/>
          <w:szCs w:val="24"/>
          <w:lang w:val="en-US"/>
        </w:rPr>
        <w:t>dengan bijak.</w:t>
      </w:r>
    </w:p>
    <w:p w14:paraId="6986A9F2" w14:textId="77777777" w:rsidR="00AE7E36" w:rsidRPr="005F14BD" w:rsidRDefault="00426C08" w:rsidP="005F14BD">
      <w:pPr>
        <w:pStyle w:val="ListParagraph"/>
        <w:numPr>
          <w:ilvl w:val="0"/>
          <w:numId w:val="4"/>
        </w:num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Etika digital menjadi prioritas selanjutnya dengan cara memberikan pemahaman tentang pentingnya berperilaku secara etis dalam ruang digital, termasuk menghindari perilaku </w:t>
      </w:r>
      <w:r w:rsidRPr="005F14BD">
        <w:rPr>
          <w:rFonts w:asciiTheme="minorBidi" w:eastAsia="Arial" w:hAnsiTheme="minorBidi" w:cstheme="minorBidi"/>
          <w:i/>
          <w:iCs/>
          <w:color w:val="000000"/>
          <w:sz w:val="24"/>
          <w:szCs w:val="24"/>
          <w:lang w:val="en-US"/>
        </w:rPr>
        <w:t xml:space="preserve">cyber bullying, </w:t>
      </w:r>
      <w:r w:rsidRPr="005F14BD">
        <w:rPr>
          <w:rFonts w:asciiTheme="minorBidi" w:eastAsia="Arial" w:hAnsiTheme="minorBidi" w:cstheme="minorBidi"/>
          <w:color w:val="000000"/>
          <w:sz w:val="24"/>
          <w:szCs w:val="24"/>
          <w:lang w:val="en-US"/>
        </w:rPr>
        <w:t xml:space="preserve">menyebarkan informasi palsu atau merugikan, dan memperlakukan orang lain secara hormat dalam interaksi </w:t>
      </w:r>
      <w:r w:rsidRPr="005F14BD">
        <w:rPr>
          <w:rFonts w:asciiTheme="minorBidi" w:eastAsia="Arial" w:hAnsiTheme="minorBidi" w:cstheme="minorBidi"/>
          <w:i/>
          <w:iCs/>
          <w:color w:val="000000"/>
          <w:sz w:val="24"/>
          <w:szCs w:val="24"/>
          <w:lang w:val="en-US"/>
        </w:rPr>
        <w:t>online.</w:t>
      </w:r>
    </w:p>
    <w:p w14:paraId="6E329D20" w14:textId="77777777" w:rsidR="00AE7E36" w:rsidRPr="005F14BD" w:rsidRDefault="00426C08" w:rsidP="005F14BD">
      <w:pPr>
        <w:pStyle w:val="ListParagraph"/>
        <w:numPr>
          <w:ilvl w:val="0"/>
          <w:numId w:val="4"/>
        </w:num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t xml:space="preserve">Pemahaman tentang privasi dan jejak digital termasuk konsekuensi jangka panjang dari tindakan </w:t>
      </w:r>
      <w:r w:rsidRPr="005F14BD">
        <w:rPr>
          <w:rFonts w:asciiTheme="minorBidi" w:eastAsia="Arial" w:hAnsiTheme="minorBidi" w:cstheme="minorBidi"/>
          <w:i/>
          <w:iCs/>
          <w:color w:val="000000"/>
          <w:sz w:val="24"/>
          <w:szCs w:val="24"/>
          <w:lang w:val="en-US"/>
        </w:rPr>
        <w:t xml:space="preserve">online </w:t>
      </w:r>
      <w:r w:rsidRPr="005F14BD">
        <w:rPr>
          <w:rFonts w:asciiTheme="minorBidi" w:eastAsia="Arial" w:hAnsiTheme="minorBidi" w:cstheme="minorBidi"/>
          <w:color w:val="000000"/>
          <w:sz w:val="24"/>
          <w:szCs w:val="24"/>
          <w:lang w:val="en-US"/>
        </w:rPr>
        <w:t xml:space="preserve">mereka seperti jejak pencarian, jejak media sosial, dan dampaknya pada reputasi </w:t>
      </w:r>
      <w:r w:rsidRPr="005F14BD">
        <w:rPr>
          <w:rFonts w:asciiTheme="minorBidi" w:eastAsia="Arial" w:hAnsiTheme="minorBidi" w:cstheme="minorBidi"/>
          <w:i/>
          <w:iCs/>
          <w:color w:val="000000"/>
          <w:sz w:val="24"/>
          <w:szCs w:val="24"/>
          <w:lang w:val="en-US"/>
        </w:rPr>
        <w:t>online</w:t>
      </w:r>
      <w:r w:rsidR="00D66FC2" w:rsidRPr="005F14BD">
        <w:rPr>
          <w:rFonts w:asciiTheme="minorBidi" w:eastAsia="Arial" w:hAnsiTheme="minorBidi" w:cstheme="minorBidi"/>
          <w:i/>
          <w:iCs/>
          <w:color w:val="000000"/>
          <w:sz w:val="24"/>
          <w:szCs w:val="24"/>
          <w:lang w:val="en-US"/>
        </w:rPr>
        <w:t>.</w:t>
      </w:r>
      <w:r w:rsidR="00D66FC2" w:rsidRPr="005F14BD">
        <w:rPr>
          <w:rFonts w:asciiTheme="minorBidi" w:eastAsia="Arial" w:hAnsiTheme="minorBidi" w:cstheme="minorBidi"/>
          <w:color w:val="000000"/>
          <w:sz w:val="24"/>
          <w:szCs w:val="24"/>
          <w:lang w:val="en-US"/>
        </w:rPr>
        <w:t>’</w:t>
      </w:r>
    </w:p>
    <w:p w14:paraId="26C2CA44" w14:textId="77777777" w:rsidR="00D66FC2" w:rsidRPr="005F14BD" w:rsidRDefault="00426C08" w:rsidP="005F14BD">
      <w:pPr>
        <w:pStyle w:val="ListParagraph"/>
        <w:numPr>
          <w:ilvl w:val="0"/>
          <w:numId w:val="4"/>
        </w:numPr>
        <w:pBdr>
          <w:top w:val="nil"/>
          <w:left w:val="nil"/>
          <w:bottom w:val="nil"/>
          <w:right w:val="nil"/>
          <w:between w:val="nil"/>
        </w:pBdr>
        <w:spacing w:line="276" w:lineRule="auto"/>
        <w:rPr>
          <w:rFonts w:asciiTheme="minorBidi" w:eastAsia="Arial" w:hAnsiTheme="minorBidi" w:cstheme="minorBidi"/>
          <w:color w:val="000000"/>
          <w:sz w:val="24"/>
          <w:szCs w:val="24"/>
          <w:lang w:val="en-US"/>
        </w:rPr>
      </w:pPr>
      <w:r w:rsidRPr="005F14BD">
        <w:rPr>
          <w:rFonts w:asciiTheme="minorBidi" w:eastAsia="Arial" w:hAnsiTheme="minorBidi" w:cstheme="minorBidi"/>
          <w:color w:val="000000"/>
          <w:sz w:val="24"/>
          <w:szCs w:val="24"/>
          <w:lang w:val="en-US"/>
        </w:rPr>
        <w:lastRenderedPageBreak/>
        <w:t xml:space="preserve">Penggunaan teknologi untuk pendidikan dan pengembangan diri, termasuk dalam mengakses sumber daya pendidikan yang berbasis </w:t>
      </w:r>
      <w:r w:rsidRPr="005F14BD">
        <w:rPr>
          <w:rFonts w:asciiTheme="minorBidi" w:eastAsia="Arial" w:hAnsiTheme="minorBidi" w:cstheme="minorBidi"/>
          <w:i/>
          <w:iCs/>
          <w:color w:val="000000"/>
          <w:sz w:val="24"/>
          <w:szCs w:val="24"/>
          <w:lang w:val="en-US"/>
        </w:rPr>
        <w:t>online.</w:t>
      </w:r>
    </w:p>
    <w:p w14:paraId="19D64D13" w14:textId="77777777" w:rsidR="007A12A1" w:rsidRPr="005F14BD" w:rsidRDefault="007A12A1" w:rsidP="005F14BD">
      <w:pPr>
        <w:pBdr>
          <w:top w:val="nil"/>
          <w:left w:val="nil"/>
          <w:bottom w:val="nil"/>
          <w:right w:val="nil"/>
          <w:between w:val="nil"/>
        </w:pBdr>
        <w:spacing w:line="276" w:lineRule="auto"/>
        <w:ind w:firstLine="360"/>
        <w:rPr>
          <w:rFonts w:asciiTheme="minorBidi" w:eastAsia="Arial" w:hAnsiTheme="minorBidi" w:cstheme="minorBidi"/>
          <w:color w:val="000000"/>
          <w:sz w:val="24"/>
          <w:szCs w:val="24"/>
        </w:rPr>
      </w:pPr>
    </w:p>
    <w:p w14:paraId="4D57987C" w14:textId="77777777" w:rsidR="00D70405" w:rsidRPr="005F14BD" w:rsidRDefault="00426C08" w:rsidP="005F14BD">
      <w:pPr>
        <w:numPr>
          <w:ilvl w:val="0"/>
          <w:numId w:val="2"/>
        </w:numPr>
        <w:pBdr>
          <w:top w:val="nil"/>
          <w:left w:val="nil"/>
          <w:bottom w:val="nil"/>
          <w:right w:val="nil"/>
          <w:between w:val="nil"/>
        </w:pBdr>
        <w:spacing w:line="276" w:lineRule="auto"/>
        <w:jc w:val="left"/>
        <w:rPr>
          <w:rFonts w:asciiTheme="minorBidi" w:hAnsiTheme="minorBidi" w:cstheme="minorBidi"/>
          <w:sz w:val="24"/>
          <w:szCs w:val="24"/>
        </w:rPr>
      </w:pPr>
      <w:r w:rsidRPr="005F14BD">
        <w:rPr>
          <w:rFonts w:asciiTheme="minorBidi" w:eastAsia="Arial" w:hAnsiTheme="minorBidi" w:cstheme="minorBidi"/>
          <w:b/>
          <w:color w:val="000000"/>
          <w:sz w:val="24"/>
          <w:szCs w:val="24"/>
        </w:rPr>
        <w:t>METODE PENERAPAN</w:t>
      </w:r>
    </w:p>
    <w:p w14:paraId="3481AAEF" w14:textId="77777777" w:rsidR="00D70405" w:rsidRPr="005F14BD" w:rsidRDefault="00D70405" w:rsidP="005F14BD">
      <w:pPr>
        <w:spacing w:line="276" w:lineRule="auto"/>
        <w:rPr>
          <w:rFonts w:asciiTheme="minorBidi" w:eastAsia="Arial" w:hAnsiTheme="minorBidi" w:cstheme="minorBidi"/>
          <w:sz w:val="24"/>
          <w:szCs w:val="24"/>
        </w:rPr>
      </w:pPr>
    </w:p>
    <w:p w14:paraId="6D875D27" w14:textId="77777777" w:rsidR="00E05E31"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Kegiatan pengabdian ini mengunakan pendekatan partisipatif berbasis komunitas (</w:t>
      </w:r>
      <w:r w:rsidRPr="005F14BD">
        <w:rPr>
          <w:rFonts w:asciiTheme="minorBidi" w:eastAsia="Arial" w:hAnsiTheme="minorBidi" w:cstheme="minorBidi"/>
          <w:i/>
          <w:iCs/>
          <w:sz w:val="24"/>
          <w:szCs w:val="24"/>
          <w:lang w:val="en-US"/>
        </w:rPr>
        <w:t>community-based participatory approach</w:t>
      </w:r>
      <w:r w:rsidRPr="005F14BD">
        <w:rPr>
          <w:rFonts w:asciiTheme="minorBidi" w:eastAsia="Arial" w:hAnsiTheme="minorBidi" w:cstheme="minorBidi"/>
          <w:sz w:val="24"/>
          <w:szCs w:val="24"/>
          <w:lang w:val="en-US"/>
        </w:rPr>
        <w:t xml:space="preserve">) yang menekankan adanya keterlibatan aktif masyarakat dalam seluruh proses pelaksanaan </w:t>
      </w:r>
      <w:r w:rsidRPr="005F14BD">
        <w:rPr>
          <w:rFonts w:asciiTheme="minorBidi" w:eastAsia="Arial" w:hAnsiTheme="minorBidi" w:cstheme="minorBidi"/>
          <w:sz w:val="24"/>
          <w:szCs w:val="24"/>
          <w:lang w:val="en-US"/>
        </w:rPr>
        <w:fldChar w:fldCharType="begin"/>
      </w:r>
      <w:r w:rsidR="00F30D74" w:rsidRPr="005F14BD">
        <w:rPr>
          <w:rFonts w:asciiTheme="minorBidi" w:eastAsia="Arial" w:hAnsiTheme="minorBidi" w:cstheme="minorBidi"/>
          <w:sz w:val="24"/>
          <w:szCs w:val="24"/>
          <w:lang w:val="en-US"/>
        </w:rPr>
        <w:instrText xml:space="preserve"> ADDIN ZOTERO_ITEM CSL_CITATION {"citationID":"uknD5Iv4","properties":{"formattedCitation":"[18], [19]","plainCitation":"[18], [19]","noteIndex":0},"citationItems":[{"id":3003,"uris":["http://zotero.org/users/12199149/items/MQDPG9EJ"],"itemData":{"id":3003,"type":"article-journal","abstract":"Introduction:  Breast cancer is one of the most prevalent cancers among women in Isfahan, Iran; however, its pre</w:instrText>
      </w:r>
      <w:r w:rsidR="00F30D74" w:rsidRPr="005F14BD">
        <w:rPr>
          <w:rFonts w:ascii="Cambria Math" w:eastAsia="Arial" w:hAnsi="Cambria Math" w:cs="Cambria Math"/>
          <w:sz w:val="24"/>
          <w:szCs w:val="24"/>
          <w:lang w:val="en-US"/>
        </w:rPr>
        <w:instrText>‑</w:instrText>
      </w:r>
      <w:r w:rsidR="00F30D74" w:rsidRPr="005F14BD">
        <w:rPr>
          <w:rFonts w:asciiTheme="minorBidi" w:eastAsia="Arial" w:hAnsiTheme="minorBidi" w:cstheme="minorBidi"/>
          <w:sz w:val="24"/>
          <w:szCs w:val="24"/>
          <w:lang w:val="en-US"/>
        </w:rPr>
        <w:instrText>vention is not desirable in this city. This disease poses several health, social and economic challenges for women. To promote women’s self-care in breast cancer prevention, this study aims to design, implement and evaluate a self-care program among women in Isfahan through using a community-based participatory action research method. Methods:  The present study is based on a community-based participatory action research approach. In this study, the participatory action research includes four general phases of organizing, action planning, action, and rethink</w:instrText>
      </w:r>
      <w:r w:rsidR="00F30D74" w:rsidRPr="005F14BD">
        <w:rPr>
          <w:rFonts w:ascii="Cambria Math" w:eastAsia="Arial" w:hAnsi="Cambria Math" w:cs="Cambria Math"/>
          <w:sz w:val="24"/>
          <w:szCs w:val="24"/>
          <w:lang w:val="en-US"/>
        </w:rPr>
        <w:instrText>‑</w:instrText>
      </w:r>
      <w:r w:rsidR="00F30D74" w:rsidRPr="005F14BD">
        <w:rPr>
          <w:rFonts w:asciiTheme="minorBidi" w:eastAsia="Arial" w:hAnsiTheme="minorBidi" w:cstheme="minorBidi"/>
          <w:sz w:val="24"/>
          <w:szCs w:val="24"/>
          <w:lang w:val="en-US"/>
        </w:rPr>
        <w:instrText>ing. These phases are summarized as follows: In the organizing phase, the needs of the participants and the action research settings are examined. This means that the current situation is identified and the views of the process owners are assessed. In the action planning phase, using the results of the first phase, some strategies are designed to pro</w:instrText>
      </w:r>
      <w:r w:rsidR="00F30D74" w:rsidRPr="005F14BD">
        <w:rPr>
          <w:rFonts w:ascii="Cambria Math" w:eastAsia="Arial" w:hAnsi="Cambria Math" w:cs="Cambria Math"/>
          <w:sz w:val="24"/>
          <w:szCs w:val="24"/>
          <w:lang w:val="en-US"/>
        </w:rPr>
        <w:instrText>‑</w:instrText>
      </w:r>
      <w:r w:rsidR="00F30D74" w:rsidRPr="005F14BD">
        <w:rPr>
          <w:rFonts w:asciiTheme="minorBidi" w:eastAsia="Arial" w:hAnsiTheme="minorBidi" w:cstheme="minorBidi"/>
          <w:sz w:val="24"/>
          <w:szCs w:val="24"/>
          <w:lang w:val="en-US"/>
        </w:rPr>
        <w:instrText>mote self-care behaviors in the prevention of breast cancer among women in Isfahan. In the implementation phase, the selected strategies are implemented with the help of the process owners. Finally, in the rethinking phase, the results of the implementation of the strategies are monitored and evaluated. This cycle continues until the intended results are achieved. Discussion:  Changing the role of individuals from a passive status to an aware and active status in the care process requires motivation, responsibility, and active participation of individuals in the disease control process. Moreo</w:instrText>
      </w:r>
      <w:r w:rsidR="00F30D74" w:rsidRPr="005F14BD">
        <w:rPr>
          <w:rFonts w:ascii="Cambria Math" w:eastAsia="Arial" w:hAnsi="Cambria Math" w:cs="Cambria Math"/>
          <w:sz w:val="24"/>
          <w:szCs w:val="24"/>
          <w:lang w:val="en-US"/>
        </w:rPr>
        <w:instrText>‑</w:instrText>
      </w:r>
      <w:r w:rsidR="00F30D74" w:rsidRPr="005F14BD">
        <w:rPr>
          <w:rFonts w:asciiTheme="minorBidi" w:eastAsia="Arial" w:hAnsiTheme="minorBidi" w:cstheme="minorBidi"/>
          <w:sz w:val="24"/>
          <w:szCs w:val="24"/>
          <w:lang w:val="en-US"/>
        </w:rPr>
        <w:instrText xml:space="preserve">ver, many cultural and social factors affect the active participation of Iranian women. Therefore, individuals can be involved in promoting their health using a community-based participatory action research approach.","container-title":"Women's Midlife Health","DOI":"10.1186/s40695-022-00077-8","ISSN":"2054-2690","issue":"1","journalAbbreviation":"womens midlife health","language":"en","page":"7","source":"DOI.org (Crossref)","title":"Design, implementation, and evaluation of self-care program in the prevention of breast cancer among women in Isfahan: a community-based participatory action research protocol","title-short":"Design, implementation, and evaluation of self-care program in the prevention of breast cancer among women in Isfahan","volume":"8","author":[{"family":"Kianpour","given":"Maryam"},{"family":"Taleghani","given":"Fariba"},{"family":"Noroozi","given":"Mahnaz"},{"family":"Savabi-Esfahani","given":"Mitra"},{"family":"Boroumandfar","given":"Zahra"},{"family":"Changiz","given":"Tahereh"},{"family":"Ravankhah","given":"Zahra"},{"family":"Javanmard","given":"Shaghayegh Haghjooy"},{"family":"Hashemi","given":"Maryam Sadat"}],"issued":{"date-parts":[["2022",12]]}}},{"id":2607,"uris":["http://zotero.org/users/12199149/items/EKVDBJ83"],"itemData":{"id":2607,"type":"article-journal","abstract":"Community service is an integral part of the \"Tri Dharma\" of higher education that must be carried out by lecturers, including those at Universitas Negeri Yogyakarta. This activity involves lecturers engaging with communities or industry partners outside the campus, aiming to maximize their expertise while addressing problems or optimizing the potential within society. This particular community service proposal adopts the \"Mbangun Desa\" (Building Villages) scheme, targeting human resource development with a specific focus on strengthening the character of youth.\nThe program, titled \"Strengthening the Character of Youth in Pacarejo Village, Semanu District, Gunung Kidul Regency Through this community service program, it is expected that youth in Pacarejo Village, Semanu, Gunung Kidul will improve their Qur'anic recitation skills and build strong character.\nKeywords: Character Strengthening, Youth, Qur'anic Recitation Art","container-title":"Jurnal Pengabdian dan Pemberdayaan Banyuwangi","DOI":"10.57203/abdiwangi.v2i1.2024.23-35","ISSN":"3032-0585","issue":"1","language":"id","license":"Hak Cipta (c) 2024 Ahmad Muzakkil Anam, Achmad Dardiri, Marzuki, Ahmad Muzakkil Anam, Yayan Rubiyanto, Hamdhan Djainudin","note":"number: 1","page":"23-35","source":"jurnal.poliwangi.ac.id","title":"Penguatan Karakter Pemuda di Desa Pacarejo, Kecamatan Semanu, Kabupaten Gunung Kidul melalui Pelatihan Baca Al-Qur'an","volume":"2","author":[{"family":"Widodo","given":"Syukri Fathudin Achmad"},{"family":"Dardiri","given":"Achmad"},{"family":"Marzuki","given":""},{"family":"Anam","given":"Ahmad Muzakkil"},{"family":"Rubiyanto","given":"Yayan"},{"family":"Djainudin","given":"Hamdhan"}],"issued":{"date-parts":[["2024",10,30]]}}}],"schema":"https://github.com/citation-style-language/schema/raw/master/csl-citation.json"} </w:instrText>
      </w:r>
      <w:r w:rsidRPr="005F14BD">
        <w:rPr>
          <w:rFonts w:asciiTheme="minorBidi" w:eastAsia="Arial" w:hAnsiTheme="minorBidi" w:cstheme="minorBidi"/>
          <w:sz w:val="24"/>
          <w:szCs w:val="24"/>
          <w:lang w:val="en-US"/>
        </w:rPr>
        <w:fldChar w:fldCharType="separate"/>
      </w:r>
      <w:r w:rsidR="00F30D74" w:rsidRPr="005F14BD">
        <w:rPr>
          <w:rFonts w:asciiTheme="minorBidi" w:hAnsiTheme="minorBidi" w:cstheme="minorBidi"/>
          <w:sz w:val="24"/>
          <w:szCs w:val="24"/>
        </w:rPr>
        <w:t>[18], [19]</w:t>
      </w:r>
      <w:r w:rsidRPr="005F14BD">
        <w:rPr>
          <w:rFonts w:asciiTheme="minorBidi" w:eastAsia="Arial" w:hAnsiTheme="minorBidi" w:cstheme="minorBidi"/>
          <w:sz w:val="24"/>
          <w:szCs w:val="24"/>
          <w:lang w:val="en-US"/>
        </w:rPr>
        <w:fldChar w:fldCharType="end"/>
      </w:r>
      <w:r w:rsidRPr="005F14BD">
        <w:rPr>
          <w:rFonts w:asciiTheme="minorBidi" w:eastAsia="Arial" w:hAnsiTheme="minorBidi" w:cstheme="minorBidi"/>
          <w:sz w:val="24"/>
          <w:szCs w:val="24"/>
          <w:lang w:val="en-US"/>
        </w:rPr>
        <w:t xml:space="preserve">. </w:t>
      </w:r>
      <w:r w:rsidR="00BB184A" w:rsidRPr="005F14BD">
        <w:rPr>
          <w:rFonts w:asciiTheme="minorBidi" w:eastAsia="Arial" w:hAnsiTheme="minorBidi" w:cstheme="minorBidi"/>
          <w:sz w:val="24"/>
          <w:szCs w:val="24"/>
          <w:lang w:val="en-US"/>
        </w:rPr>
        <w:t>Kegiatan penga</w:t>
      </w:r>
      <w:r w:rsidR="001E0390" w:rsidRPr="005F14BD">
        <w:rPr>
          <w:rFonts w:asciiTheme="minorBidi" w:eastAsia="Arial" w:hAnsiTheme="minorBidi" w:cstheme="minorBidi"/>
          <w:sz w:val="24"/>
          <w:szCs w:val="24"/>
          <w:lang w:val="en-US"/>
        </w:rPr>
        <w:t>b</w:t>
      </w:r>
      <w:r w:rsidR="00BB184A" w:rsidRPr="005F14BD">
        <w:rPr>
          <w:rFonts w:asciiTheme="minorBidi" w:eastAsia="Arial" w:hAnsiTheme="minorBidi" w:cstheme="minorBidi"/>
          <w:sz w:val="24"/>
          <w:szCs w:val="24"/>
          <w:lang w:val="en-US"/>
        </w:rPr>
        <w:t>dian kepada masyarakat dilaksanakan padakurun waktu Juli sampai September 2024. Secara garis besar, kegiatan literasi digital ini dilaksanakan dalam beberapa tahapan, dimana setiap tahapan terhubung dengan tahap selanjutnya. Kegiatan tersebut diantaranya:</w:t>
      </w:r>
    </w:p>
    <w:p w14:paraId="7D0D8232"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 xml:space="preserve"> </w:t>
      </w:r>
    </w:p>
    <w:p w14:paraId="0A48C110"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2.1.</w:t>
      </w:r>
      <w:r w:rsidRPr="005F14BD">
        <w:rPr>
          <w:rFonts w:asciiTheme="minorBidi" w:eastAsia="Arial" w:hAnsiTheme="minorBidi" w:cstheme="minorBidi"/>
          <w:sz w:val="24"/>
          <w:szCs w:val="24"/>
          <w:lang w:val="en-US"/>
        </w:rPr>
        <w:tab/>
        <w:t>Observasi Pra-Kegiatan</w:t>
      </w:r>
    </w:p>
    <w:p w14:paraId="242330E5"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Tahap pertama ini bertujuan untuk mengidentifikasi kebutuhan masyarakat terkait literasi digital. Tim pelaksana akan melakukan observasi langsung di Desa Pacarejo guna memahami tingkat literasi digital yang ada, kendala yang dihadapi oleh masyarakat, serta tingkat kesadaran terhadap ancaman cyber crime. Data yang diperoleh dari observasi ini akan menjadi dasar dalam merancang materi dan pendekatan yang tepat untuk kegiatan berikutnya.</w:t>
      </w:r>
    </w:p>
    <w:p w14:paraId="75178FDD" w14:textId="77777777" w:rsidR="00E05E31" w:rsidRPr="005F14BD" w:rsidRDefault="00E05E31" w:rsidP="005F14BD">
      <w:pPr>
        <w:spacing w:line="276" w:lineRule="auto"/>
        <w:rPr>
          <w:rFonts w:asciiTheme="minorBidi" w:eastAsia="Arial" w:hAnsiTheme="minorBidi" w:cstheme="minorBidi"/>
          <w:sz w:val="24"/>
          <w:szCs w:val="24"/>
          <w:lang w:val="en-US"/>
        </w:rPr>
      </w:pPr>
    </w:p>
    <w:p w14:paraId="23F706DA"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2.2.</w:t>
      </w:r>
      <w:r w:rsidRPr="005F14BD">
        <w:rPr>
          <w:rFonts w:asciiTheme="minorBidi" w:eastAsia="Arial" w:hAnsiTheme="minorBidi" w:cstheme="minorBidi"/>
          <w:sz w:val="24"/>
          <w:szCs w:val="24"/>
          <w:lang w:val="en-US"/>
        </w:rPr>
        <w:tab/>
      </w:r>
      <w:r w:rsidR="00920101" w:rsidRPr="005F14BD">
        <w:rPr>
          <w:rFonts w:asciiTheme="minorBidi" w:eastAsia="Arial" w:hAnsiTheme="minorBidi" w:cstheme="minorBidi"/>
          <w:i/>
          <w:iCs/>
          <w:sz w:val="24"/>
          <w:szCs w:val="24"/>
          <w:lang w:val="en-US"/>
        </w:rPr>
        <w:t>Workshop</w:t>
      </w:r>
      <w:r w:rsidRPr="005F14BD">
        <w:rPr>
          <w:rFonts w:asciiTheme="minorBidi" w:eastAsia="Arial" w:hAnsiTheme="minorBidi" w:cstheme="minorBidi"/>
          <w:sz w:val="24"/>
          <w:szCs w:val="24"/>
          <w:lang w:val="en-US"/>
        </w:rPr>
        <w:t xml:space="preserve"> literasi digital</w:t>
      </w:r>
    </w:p>
    <w:p w14:paraId="56CE8C85"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Setelah observasi, dilakukan sosialisasi untuk memberikan pengetahuan dasar kepada masyarakat tentang literasi digital. Dalam sosialisasi ini, peserta akan dibekali dengan informasi tentang pentingnya keamanan online, cara melindungi data pribadi, mengenali ancaman siber, serta penggunaan teknologi secara bijak dan aman. Kegiatan ini juga akan mencakup penjelasan mengenai etika digital dan pengaruh negatif dari kecanduan media sosial.</w:t>
      </w:r>
    </w:p>
    <w:p w14:paraId="4CF1B46A" w14:textId="77777777" w:rsidR="00E05E31" w:rsidRPr="005F14BD" w:rsidRDefault="00E05E31" w:rsidP="005F14BD">
      <w:pPr>
        <w:spacing w:line="276" w:lineRule="auto"/>
        <w:rPr>
          <w:rFonts w:asciiTheme="minorBidi" w:eastAsia="Arial" w:hAnsiTheme="minorBidi" w:cstheme="minorBidi"/>
          <w:sz w:val="24"/>
          <w:szCs w:val="24"/>
          <w:lang w:val="en-US"/>
        </w:rPr>
      </w:pPr>
    </w:p>
    <w:p w14:paraId="6FA32823" w14:textId="77777777" w:rsidR="001E0390"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2.3.</w:t>
      </w:r>
      <w:r w:rsidRPr="005F14BD">
        <w:rPr>
          <w:rFonts w:asciiTheme="minorBidi" w:eastAsia="Arial" w:hAnsiTheme="minorBidi" w:cstheme="minorBidi"/>
          <w:sz w:val="24"/>
          <w:szCs w:val="24"/>
          <w:lang w:val="en-US"/>
        </w:rPr>
        <w:tab/>
        <w:t>Evaluasi</w:t>
      </w:r>
    </w:p>
    <w:p w14:paraId="6147BA8D"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Tahap evaluasi bertujuan untuk menilai efektivitas kegiatan yang telah dilaksanakan. Dalam evaluasi ini, tim akan mengukur sejauh mana pengetahuan dan keterampilan masyarakat meningkat setelah mengikuti sosialisasi dan kampanye. Evaluasi dilakukan melalui pre-test dan post-test, survei kepuasan peserta, serta pemantauan</w:t>
      </w:r>
      <w:r w:rsidR="001E0390" w:rsidRPr="005F14BD">
        <w:rPr>
          <w:rFonts w:asciiTheme="minorBidi" w:eastAsia="Arial" w:hAnsiTheme="minorBidi" w:cstheme="minorBidi"/>
          <w:sz w:val="24"/>
          <w:szCs w:val="24"/>
          <w:lang w:val="en-US"/>
        </w:rPr>
        <w:t xml:space="preserve"> </w:t>
      </w:r>
      <w:r w:rsidRPr="005F14BD">
        <w:rPr>
          <w:rFonts w:asciiTheme="minorBidi" w:eastAsia="Arial" w:hAnsiTheme="minorBidi" w:cstheme="minorBidi"/>
          <w:sz w:val="24"/>
          <w:szCs w:val="24"/>
          <w:lang w:val="en-US"/>
        </w:rPr>
        <w:t>perubahan perilaku masyarakat terkait penggunaan teknologi digital. Hasil evaluasi ini juga akan menjadi bahan untuk perbaikan kegiatan serupa di masa mendatang.</w:t>
      </w:r>
    </w:p>
    <w:p w14:paraId="17CCAC89" w14:textId="77777777" w:rsidR="007B5FC0"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noProof/>
          <w:sz w:val="24"/>
          <w:szCs w:val="24"/>
          <w:lang w:val="en-US"/>
        </w:rPr>
        <w:lastRenderedPageBreak/>
        <w:drawing>
          <wp:anchor distT="0" distB="0" distL="114300" distR="114300" simplePos="0" relativeHeight="251658240" behindDoc="0" locked="0" layoutInCell="1" allowOverlap="1" wp14:anchorId="34D86E7F" wp14:editId="6E13BECC">
            <wp:simplePos x="0" y="0"/>
            <wp:positionH relativeFrom="margin">
              <wp:posOffset>921385</wp:posOffset>
            </wp:positionH>
            <wp:positionV relativeFrom="paragraph">
              <wp:posOffset>38</wp:posOffset>
            </wp:positionV>
            <wp:extent cx="3295650" cy="1870710"/>
            <wp:effectExtent l="0" t="0" r="0" b="8890"/>
            <wp:wrapThrough wrapText="bothSides">
              <wp:wrapPolygon edited="0">
                <wp:start x="17563" y="0"/>
                <wp:lineTo x="17729" y="2346"/>
                <wp:lineTo x="15399" y="3373"/>
                <wp:lineTo x="12902" y="4692"/>
                <wp:lineTo x="11320" y="5719"/>
                <wp:lineTo x="9489" y="7039"/>
                <wp:lineTo x="8490" y="7919"/>
                <wp:lineTo x="7075" y="9385"/>
                <wp:lineTo x="5244" y="11731"/>
                <wp:lineTo x="3829" y="14077"/>
                <wp:lineTo x="2747" y="16424"/>
                <wp:lineTo x="1914" y="18770"/>
                <wp:lineTo x="1249" y="21116"/>
                <wp:lineTo x="1165" y="21556"/>
                <wp:lineTo x="1582" y="21556"/>
                <wp:lineTo x="7408" y="21116"/>
                <wp:lineTo x="7575" y="19796"/>
                <wp:lineTo x="5327" y="18770"/>
                <wp:lineTo x="5827" y="18770"/>
                <wp:lineTo x="7991" y="16864"/>
                <wp:lineTo x="9489" y="16424"/>
                <wp:lineTo x="11653" y="14957"/>
                <wp:lineTo x="11570" y="14077"/>
                <wp:lineTo x="11986" y="12171"/>
                <wp:lineTo x="19145" y="10558"/>
                <wp:lineTo x="19145" y="9385"/>
                <wp:lineTo x="21142" y="4546"/>
                <wp:lineTo x="20726" y="3813"/>
                <wp:lineTo x="17896" y="0"/>
                <wp:lineTo x="17563" y="0"/>
              </wp:wrapPolygon>
            </wp:wrapThrough>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2203BA2B" w14:textId="77777777" w:rsidR="007B5FC0" w:rsidRPr="005F14BD" w:rsidRDefault="007B5FC0" w:rsidP="005F14BD">
      <w:pPr>
        <w:spacing w:line="276" w:lineRule="auto"/>
        <w:rPr>
          <w:rFonts w:asciiTheme="minorBidi" w:eastAsia="Arial" w:hAnsiTheme="minorBidi" w:cstheme="minorBidi"/>
          <w:sz w:val="24"/>
          <w:szCs w:val="24"/>
          <w:lang w:val="en-US"/>
        </w:rPr>
      </w:pPr>
    </w:p>
    <w:p w14:paraId="0409D885" w14:textId="77777777" w:rsidR="007B5FC0" w:rsidRPr="005F14BD" w:rsidRDefault="007B5FC0" w:rsidP="005F14BD">
      <w:pPr>
        <w:spacing w:line="276" w:lineRule="auto"/>
        <w:rPr>
          <w:rFonts w:asciiTheme="minorBidi" w:eastAsia="Arial" w:hAnsiTheme="minorBidi" w:cstheme="minorBidi"/>
          <w:sz w:val="24"/>
          <w:szCs w:val="24"/>
          <w:lang w:val="en-US"/>
        </w:rPr>
      </w:pPr>
    </w:p>
    <w:p w14:paraId="08C41214" w14:textId="77777777" w:rsidR="007B5FC0" w:rsidRPr="005F14BD" w:rsidRDefault="007B5FC0" w:rsidP="005F14BD">
      <w:pPr>
        <w:spacing w:line="276" w:lineRule="auto"/>
        <w:rPr>
          <w:rFonts w:asciiTheme="minorBidi" w:eastAsia="Arial" w:hAnsiTheme="minorBidi" w:cstheme="minorBidi"/>
          <w:sz w:val="24"/>
          <w:szCs w:val="24"/>
          <w:lang w:val="en-US"/>
        </w:rPr>
      </w:pPr>
    </w:p>
    <w:p w14:paraId="64F63FBD" w14:textId="77777777" w:rsidR="007B5FC0" w:rsidRPr="005F14BD" w:rsidRDefault="007B5FC0" w:rsidP="005F14BD">
      <w:pPr>
        <w:spacing w:line="276" w:lineRule="auto"/>
        <w:rPr>
          <w:rFonts w:asciiTheme="minorBidi" w:eastAsia="Arial" w:hAnsiTheme="minorBidi" w:cstheme="minorBidi"/>
          <w:sz w:val="24"/>
          <w:szCs w:val="24"/>
          <w:lang w:val="en-US"/>
        </w:rPr>
      </w:pPr>
    </w:p>
    <w:p w14:paraId="55F81185" w14:textId="77777777" w:rsidR="007B5FC0" w:rsidRPr="005F14BD" w:rsidRDefault="007B5FC0" w:rsidP="005F14BD">
      <w:pPr>
        <w:spacing w:line="276" w:lineRule="auto"/>
        <w:rPr>
          <w:rFonts w:asciiTheme="minorBidi" w:eastAsia="Arial" w:hAnsiTheme="minorBidi" w:cstheme="minorBidi"/>
          <w:sz w:val="24"/>
          <w:szCs w:val="24"/>
          <w:lang w:val="en-US"/>
        </w:rPr>
      </w:pPr>
    </w:p>
    <w:p w14:paraId="28C50FAF" w14:textId="77777777" w:rsidR="00920101" w:rsidRPr="005F14BD" w:rsidRDefault="00920101" w:rsidP="005F14BD">
      <w:pPr>
        <w:spacing w:line="276" w:lineRule="auto"/>
        <w:rPr>
          <w:rFonts w:asciiTheme="minorBidi" w:eastAsia="Arial" w:hAnsiTheme="minorBidi" w:cstheme="minorBidi"/>
          <w:sz w:val="24"/>
          <w:szCs w:val="24"/>
          <w:lang w:val="en-US"/>
        </w:rPr>
      </w:pPr>
    </w:p>
    <w:p w14:paraId="2AF7636C" w14:textId="77777777" w:rsidR="001E0390" w:rsidRPr="005F14BD" w:rsidRDefault="001E0390" w:rsidP="005F14BD">
      <w:pPr>
        <w:spacing w:line="276" w:lineRule="auto"/>
        <w:jc w:val="center"/>
        <w:rPr>
          <w:rFonts w:asciiTheme="minorBidi" w:eastAsia="Arial" w:hAnsiTheme="minorBidi" w:cstheme="minorBidi"/>
          <w:sz w:val="24"/>
          <w:szCs w:val="24"/>
          <w:lang w:val="en-US"/>
        </w:rPr>
      </w:pPr>
    </w:p>
    <w:p w14:paraId="6FADFE92" w14:textId="77777777" w:rsidR="001E0390" w:rsidRPr="005F14BD" w:rsidRDefault="001E0390" w:rsidP="005F14BD">
      <w:pPr>
        <w:spacing w:line="276" w:lineRule="auto"/>
        <w:jc w:val="center"/>
        <w:rPr>
          <w:rFonts w:asciiTheme="minorBidi" w:eastAsia="Arial" w:hAnsiTheme="minorBidi" w:cstheme="minorBidi"/>
          <w:sz w:val="24"/>
          <w:szCs w:val="24"/>
          <w:lang w:val="en-US"/>
        </w:rPr>
      </w:pPr>
    </w:p>
    <w:p w14:paraId="010C2D2A" w14:textId="77777777" w:rsidR="001E0390" w:rsidRPr="005F14BD" w:rsidRDefault="001E0390" w:rsidP="005F14BD">
      <w:pPr>
        <w:spacing w:line="276" w:lineRule="auto"/>
        <w:jc w:val="center"/>
        <w:rPr>
          <w:rFonts w:asciiTheme="minorBidi" w:eastAsia="Arial" w:hAnsiTheme="minorBidi" w:cstheme="minorBidi"/>
          <w:sz w:val="24"/>
          <w:szCs w:val="24"/>
          <w:lang w:val="en-US"/>
        </w:rPr>
      </w:pPr>
    </w:p>
    <w:p w14:paraId="4B2D5D21" w14:textId="77777777" w:rsidR="00920101" w:rsidRPr="005F14BD" w:rsidRDefault="00426C08" w:rsidP="005F14BD">
      <w:pPr>
        <w:spacing w:line="276" w:lineRule="auto"/>
        <w:jc w:val="center"/>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Gambar 1. Metode pelaksanaan kegiatan pengabdian masyarakat</w:t>
      </w:r>
    </w:p>
    <w:p w14:paraId="265A8FA9" w14:textId="77777777" w:rsidR="00920101" w:rsidRPr="005F14BD" w:rsidRDefault="00920101" w:rsidP="005F14BD">
      <w:pPr>
        <w:spacing w:line="276" w:lineRule="auto"/>
        <w:jc w:val="center"/>
        <w:rPr>
          <w:rFonts w:asciiTheme="minorBidi" w:eastAsia="Arial" w:hAnsiTheme="minorBidi" w:cstheme="minorBidi"/>
          <w:sz w:val="24"/>
          <w:szCs w:val="24"/>
          <w:lang w:val="en-US"/>
        </w:rPr>
      </w:pPr>
    </w:p>
    <w:p w14:paraId="7B460F12" w14:textId="77777777" w:rsidR="00BB184A" w:rsidRPr="005F14BD" w:rsidRDefault="00426C08" w:rsidP="005F14BD">
      <w:pPr>
        <w:pBdr>
          <w:top w:val="nil"/>
          <w:left w:val="nil"/>
          <w:bottom w:val="nil"/>
          <w:right w:val="nil"/>
          <w:between w:val="nil"/>
        </w:pBd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Sementara itu, untuk khalayak yang disasar dalam kegiatan pengabdian literasi digital di Kalurahan Pacarejo ini adalah:</w:t>
      </w:r>
    </w:p>
    <w:p w14:paraId="49BD2D16" w14:textId="77777777" w:rsidR="00E05E31" w:rsidRPr="005F14BD" w:rsidRDefault="00426C08" w:rsidP="005F14BD">
      <w:pPr>
        <w:pStyle w:val="ListParagraph"/>
        <w:numPr>
          <w:ilvl w:val="0"/>
          <w:numId w:val="3"/>
        </w:num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 xml:space="preserve">Remaja yang merupakan target utama, dengan argumentasi bahwa mereka adalah pengguna aktif media sosial dan teknologi digital. Mereka perlu dibekali dengan literasi digital yang baik untuk melindungi diri dari ancaman </w:t>
      </w:r>
      <w:r w:rsidRPr="005F14BD">
        <w:rPr>
          <w:rFonts w:asciiTheme="minorBidi" w:eastAsia="Arial" w:hAnsiTheme="minorBidi" w:cstheme="minorBidi"/>
          <w:i/>
          <w:iCs/>
          <w:sz w:val="24"/>
          <w:szCs w:val="24"/>
          <w:lang w:val="en-US"/>
        </w:rPr>
        <w:t>cyber</w:t>
      </w:r>
      <w:r w:rsidR="00920101" w:rsidRPr="005F14BD">
        <w:rPr>
          <w:rFonts w:asciiTheme="minorBidi" w:eastAsia="Arial" w:hAnsiTheme="minorBidi" w:cstheme="minorBidi"/>
          <w:i/>
          <w:iCs/>
          <w:sz w:val="24"/>
          <w:szCs w:val="24"/>
          <w:lang w:val="en-US"/>
        </w:rPr>
        <w:t xml:space="preserve"> </w:t>
      </w:r>
      <w:r w:rsidRPr="005F14BD">
        <w:rPr>
          <w:rFonts w:asciiTheme="minorBidi" w:eastAsia="Arial" w:hAnsiTheme="minorBidi" w:cstheme="minorBidi"/>
          <w:i/>
          <w:iCs/>
          <w:sz w:val="24"/>
          <w:szCs w:val="24"/>
          <w:lang w:val="en-US"/>
        </w:rPr>
        <w:t>crime</w:t>
      </w:r>
      <w:r w:rsidRPr="005F14BD">
        <w:rPr>
          <w:rFonts w:asciiTheme="minorBidi" w:eastAsia="Arial" w:hAnsiTheme="minorBidi" w:cstheme="minorBidi"/>
          <w:sz w:val="24"/>
          <w:szCs w:val="24"/>
          <w:lang w:val="en-US"/>
        </w:rPr>
        <w:t>, serta memanfaatkan teknologi secara bijak dan produktif.</w:t>
      </w:r>
    </w:p>
    <w:p w14:paraId="79776F18" w14:textId="77777777" w:rsidR="00E05E31" w:rsidRPr="005F14BD" w:rsidRDefault="00426C08" w:rsidP="005F14BD">
      <w:pPr>
        <w:pStyle w:val="ListParagraph"/>
        <w:numPr>
          <w:ilvl w:val="0"/>
          <w:numId w:val="3"/>
        </w:num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Masyarakat secara umum yang dalam hal ini adalah orang dewasa dan keluarga yang memiliki akses terhadap internet, dengan tujuan meningkatkan pemahaman mereka tentang keamanan online, privasi digital, dan pentingnya etika dalam penggunaan teknologi.</w:t>
      </w:r>
    </w:p>
    <w:p w14:paraId="75EDDE35" w14:textId="77777777" w:rsidR="00BB184A" w:rsidRPr="005F14BD" w:rsidRDefault="00426C08" w:rsidP="005F14BD">
      <w:pPr>
        <w:pStyle w:val="ListParagraph"/>
        <w:numPr>
          <w:ilvl w:val="0"/>
          <w:numId w:val="3"/>
        </w:num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Karang Taruna dan kelompok masyarakat, yang merupakan representasi organisasi pemuda. Karang Taruna akan menjadi mitra strategis dalam membantu sosialisasi literasi digital, serta berperan sebagai fasilitator dalam menyebarluaskan informasi dan keterampilan kepada anggota lainnya.</w:t>
      </w:r>
    </w:p>
    <w:p w14:paraId="41728613" w14:textId="77777777" w:rsidR="00BB184A" w:rsidRPr="005F14BD" w:rsidRDefault="00426C08" w:rsidP="005F14BD">
      <w:pPr>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Dengan sasaran tersebut, dapat dikatakan bahwa program ini memiliki tujuan untuk mencakup berbagai elemen masyarakat, baik secara individu maupun komunitas, agar dapat beradaptasi dengan perkembangan teknologi secara aman dan bertanggung jawab.</w:t>
      </w:r>
    </w:p>
    <w:p w14:paraId="618E5341" w14:textId="77777777" w:rsidR="007B5FC0" w:rsidRPr="005F14BD" w:rsidRDefault="007B5FC0" w:rsidP="005F14BD">
      <w:pPr>
        <w:pBdr>
          <w:top w:val="nil"/>
          <w:left w:val="nil"/>
          <w:bottom w:val="nil"/>
          <w:right w:val="nil"/>
          <w:between w:val="nil"/>
        </w:pBdr>
        <w:spacing w:line="276" w:lineRule="auto"/>
        <w:ind w:left="360"/>
        <w:jc w:val="left"/>
        <w:rPr>
          <w:rFonts w:asciiTheme="minorBidi" w:hAnsiTheme="minorBidi" w:cstheme="minorBidi"/>
          <w:sz w:val="24"/>
          <w:szCs w:val="24"/>
        </w:rPr>
      </w:pPr>
    </w:p>
    <w:p w14:paraId="2C1CC1FA" w14:textId="77777777" w:rsidR="00D70405" w:rsidRPr="005F14BD" w:rsidRDefault="00426C08" w:rsidP="005F14BD">
      <w:pPr>
        <w:numPr>
          <w:ilvl w:val="0"/>
          <w:numId w:val="2"/>
        </w:numPr>
        <w:pBdr>
          <w:top w:val="nil"/>
          <w:left w:val="nil"/>
          <w:bottom w:val="nil"/>
          <w:right w:val="nil"/>
          <w:between w:val="nil"/>
        </w:pBdr>
        <w:spacing w:line="276" w:lineRule="auto"/>
        <w:jc w:val="left"/>
        <w:rPr>
          <w:rFonts w:asciiTheme="minorBidi" w:hAnsiTheme="minorBidi" w:cstheme="minorBidi"/>
          <w:sz w:val="24"/>
          <w:szCs w:val="24"/>
        </w:rPr>
      </w:pPr>
      <w:r w:rsidRPr="005F14BD">
        <w:rPr>
          <w:rFonts w:asciiTheme="minorBidi" w:eastAsia="Arial" w:hAnsiTheme="minorBidi" w:cstheme="minorBidi"/>
          <w:b/>
          <w:color w:val="000000"/>
          <w:sz w:val="24"/>
          <w:szCs w:val="24"/>
        </w:rPr>
        <w:t>HASIL DAN PEMBAHASAN</w:t>
      </w:r>
    </w:p>
    <w:p w14:paraId="664A53BB" w14:textId="77777777" w:rsidR="00920101" w:rsidRPr="005F14BD" w:rsidRDefault="00426C08" w:rsidP="005F14BD">
      <w:pPr>
        <w:tabs>
          <w:tab w:val="left" w:pos="284"/>
        </w:tabs>
        <w:spacing w:line="276" w:lineRule="auto"/>
        <w:rPr>
          <w:rFonts w:asciiTheme="minorBidi" w:eastAsia="Arial" w:hAnsiTheme="minorBidi" w:cstheme="minorBidi"/>
          <w:b/>
          <w:bCs/>
          <w:sz w:val="24"/>
          <w:szCs w:val="24"/>
        </w:rPr>
      </w:pPr>
      <w:r w:rsidRPr="005F14BD">
        <w:rPr>
          <w:rFonts w:asciiTheme="minorBidi" w:hAnsiTheme="minorBidi" w:cstheme="minorBidi"/>
          <w:b/>
          <w:bCs/>
          <w:sz w:val="24"/>
          <w:szCs w:val="24"/>
          <w:lang w:val="en-US"/>
        </w:rPr>
        <w:t>3.1.</w:t>
      </w:r>
      <w:r w:rsidRPr="005F14BD">
        <w:rPr>
          <w:rFonts w:asciiTheme="minorBidi" w:hAnsiTheme="minorBidi" w:cstheme="minorBidi"/>
          <w:b/>
          <w:bCs/>
          <w:sz w:val="24"/>
          <w:szCs w:val="24"/>
          <w:lang w:val="en-US"/>
        </w:rPr>
        <w:tab/>
      </w:r>
      <w:r w:rsidRPr="005F14BD">
        <w:rPr>
          <w:rFonts w:asciiTheme="minorBidi" w:eastAsia="Arial" w:hAnsiTheme="minorBidi" w:cstheme="minorBidi"/>
          <w:b/>
          <w:bCs/>
          <w:sz w:val="24"/>
          <w:szCs w:val="24"/>
        </w:rPr>
        <w:t>Observasi pra-pelaksanaan</w:t>
      </w:r>
    </w:p>
    <w:p w14:paraId="4C7B2AD0" w14:textId="77777777" w:rsidR="00920101"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Kegiatan pra-pelaksanaan melibatkan beberapa pihak untuk mengidentifikasi permasalahan yang dihadapi, dengan melibatkan beberapa pihak</w:t>
      </w:r>
      <w:r w:rsidR="005549B4" w:rsidRPr="005F14BD">
        <w:rPr>
          <w:rFonts w:asciiTheme="minorBidi" w:eastAsia="Arial" w:hAnsiTheme="minorBidi" w:cstheme="minorBidi"/>
          <w:sz w:val="24"/>
          <w:szCs w:val="24"/>
          <w:lang w:val="en-US"/>
        </w:rPr>
        <w:t xml:space="preserve">, </w:t>
      </w:r>
      <w:r w:rsidRPr="005F14BD">
        <w:rPr>
          <w:rFonts w:asciiTheme="minorBidi" w:eastAsia="Arial" w:hAnsiTheme="minorBidi" w:cstheme="minorBidi"/>
          <w:sz w:val="24"/>
          <w:szCs w:val="24"/>
        </w:rPr>
        <w:t xml:space="preserve">diantaranya Pemerintah Desa Pacarejo dan beberapa tokoh masyarakat di wilayah Desa Pacarejo. Kegiatan ini menghasilkan temuan masalah yang dihadapi oleh masyarakat di Desa Pacarejo akibat dampak perkembangan teknologi yaitu munculnya kecanduan bermain game di kalangan anak-anak dan remaja yang cenderung mengarah judi online. Selain itu, kejahatan dalam dunia digital juga dirasakan oleh masyarakat, seperti penipuan di media sosial sering dialami oleh masyarakat setempat. Berdasarkan analisis situasi di atas, fokus dari pengabdian masyarakat difokuskan </w:t>
      </w:r>
      <w:r w:rsidRPr="005F14BD">
        <w:rPr>
          <w:rFonts w:asciiTheme="minorBidi" w:eastAsia="Arial" w:hAnsiTheme="minorBidi" w:cstheme="minorBidi"/>
          <w:sz w:val="24"/>
          <w:szCs w:val="24"/>
        </w:rPr>
        <w:lastRenderedPageBreak/>
        <w:t>pada peningkatan literasi digital di Desa Pacarejo sebagai salah satu solusi untuk menghadapi berbagai persoalan di atas. Program pengabdian ini berkolaborasi dengan mitra yaitu Karang Taruna yang ada di Desa Pacarejo. Kegiatan observasi pra-pelaksanaan ditunjukkan dalam gambar 1.</w:t>
      </w:r>
    </w:p>
    <w:p w14:paraId="2C264D66" w14:textId="77777777" w:rsidR="00920101" w:rsidRPr="005F14BD" w:rsidRDefault="00426C08" w:rsidP="005F14BD">
      <w:pPr>
        <w:spacing w:line="276" w:lineRule="auto"/>
        <w:rPr>
          <w:rFonts w:asciiTheme="minorBidi" w:eastAsia="Arial" w:hAnsiTheme="minorBidi" w:cstheme="minorBidi"/>
          <w:sz w:val="24"/>
          <w:szCs w:val="24"/>
        </w:rPr>
      </w:pPr>
      <w:r w:rsidRPr="005F14BD">
        <w:rPr>
          <w:rFonts w:asciiTheme="minorBidi" w:eastAsia="Arial" w:hAnsiTheme="minorBidi" w:cstheme="minorBidi"/>
          <w:noProof/>
          <w:sz w:val="24"/>
          <w:szCs w:val="24"/>
        </w:rPr>
        <w:drawing>
          <wp:anchor distT="0" distB="0" distL="114300" distR="114300" simplePos="0" relativeHeight="251659264" behindDoc="0" locked="0" layoutInCell="1" allowOverlap="1" wp14:anchorId="068B8EF3" wp14:editId="32F7B70D">
            <wp:simplePos x="0" y="0"/>
            <wp:positionH relativeFrom="margin">
              <wp:align>center</wp:align>
            </wp:positionH>
            <wp:positionV relativeFrom="paragraph">
              <wp:posOffset>99818</wp:posOffset>
            </wp:positionV>
            <wp:extent cx="2632710" cy="197421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2710" cy="1974215"/>
                    </a:xfrm>
                    <a:prstGeom prst="rect">
                      <a:avLst/>
                    </a:prstGeom>
                  </pic:spPr>
                </pic:pic>
              </a:graphicData>
            </a:graphic>
          </wp:anchor>
        </w:drawing>
      </w:r>
    </w:p>
    <w:p w14:paraId="547401BE"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0173BF01"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507328D5"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6CF2584E"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2832A757"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3A4A89F3"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589B04D8"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4E15BCF1"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32FE47A9"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600FFDA0"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6081DE28" w14:textId="77777777" w:rsidR="00920101" w:rsidRPr="005F14BD" w:rsidRDefault="00426C08" w:rsidP="005F14BD">
      <w:pPr>
        <w:tabs>
          <w:tab w:val="left" w:pos="284"/>
        </w:tabs>
        <w:spacing w:line="276" w:lineRule="auto"/>
        <w:jc w:val="center"/>
        <w:rPr>
          <w:rFonts w:asciiTheme="minorBidi" w:eastAsia="Arial" w:hAnsiTheme="minorBidi" w:cstheme="minorBidi"/>
          <w:sz w:val="24"/>
          <w:szCs w:val="24"/>
        </w:rPr>
      </w:pPr>
      <w:r w:rsidRPr="005F14BD">
        <w:rPr>
          <w:rFonts w:asciiTheme="minorBidi" w:eastAsia="Arial" w:hAnsiTheme="minorBidi" w:cstheme="minorBidi"/>
          <w:sz w:val="24"/>
          <w:szCs w:val="24"/>
        </w:rPr>
        <w:t>Gambar 1. Observasi pra-pelaksanaan</w:t>
      </w:r>
    </w:p>
    <w:p w14:paraId="7134881C"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07568360" w14:textId="77777777" w:rsidR="00920101" w:rsidRPr="005F14BD" w:rsidRDefault="00426C08" w:rsidP="005F14BD">
      <w:pPr>
        <w:tabs>
          <w:tab w:val="left" w:pos="284"/>
        </w:tabs>
        <w:spacing w:line="276" w:lineRule="auto"/>
        <w:rPr>
          <w:rFonts w:asciiTheme="minorBidi" w:eastAsia="Arial" w:hAnsiTheme="minorBidi" w:cstheme="minorBidi"/>
          <w:b/>
          <w:bCs/>
          <w:i/>
          <w:iCs/>
          <w:sz w:val="24"/>
          <w:szCs w:val="24"/>
          <w:lang w:val="en-US"/>
        </w:rPr>
      </w:pPr>
      <w:r w:rsidRPr="005F14BD">
        <w:rPr>
          <w:rFonts w:asciiTheme="minorBidi" w:eastAsia="Arial" w:hAnsiTheme="minorBidi" w:cstheme="minorBidi"/>
          <w:b/>
          <w:bCs/>
          <w:sz w:val="24"/>
          <w:szCs w:val="24"/>
          <w:lang w:val="en-US"/>
        </w:rPr>
        <w:t>3.2.</w:t>
      </w:r>
      <w:r w:rsidRPr="005F14BD">
        <w:rPr>
          <w:rFonts w:asciiTheme="minorBidi" w:eastAsia="Arial" w:hAnsiTheme="minorBidi" w:cstheme="minorBidi"/>
          <w:b/>
          <w:bCs/>
          <w:sz w:val="24"/>
          <w:szCs w:val="24"/>
          <w:lang w:val="en-US"/>
        </w:rPr>
        <w:tab/>
        <w:t xml:space="preserve"> </w:t>
      </w:r>
      <w:r w:rsidR="00F2199A" w:rsidRPr="005F14BD">
        <w:rPr>
          <w:rFonts w:asciiTheme="minorBidi" w:eastAsia="Arial" w:hAnsiTheme="minorBidi" w:cstheme="minorBidi"/>
          <w:b/>
          <w:bCs/>
          <w:i/>
          <w:iCs/>
          <w:sz w:val="24"/>
          <w:szCs w:val="24"/>
          <w:lang w:val="en-US"/>
        </w:rPr>
        <w:t>Workshop literasi digita</w:t>
      </w:r>
      <w:r w:rsidR="00425280" w:rsidRPr="005F14BD">
        <w:rPr>
          <w:rFonts w:asciiTheme="minorBidi" w:eastAsia="Arial" w:hAnsiTheme="minorBidi" w:cstheme="minorBidi"/>
          <w:b/>
          <w:bCs/>
          <w:i/>
          <w:iCs/>
          <w:sz w:val="24"/>
          <w:szCs w:val="24"/>
          <w:lang w:val="en-US"/>
        </w:rPr>
        <w:t>l</w:t>
      </w:r>
    </w:p>
    <w:p w14:paraId="1CFAAE41" w14:textId="77777777" w:rsidR="00920101"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lang w:val="en-US"/>
        </w:rPr>
        <w:t xml:space="preserve">Berdasarkan hasil observasi pra-kegiatan, diketahui bahwa sebagian besar remaja di Desa Pacarejo memiliki intensitas penggunaan internet yang tinggi, terutama dalam mengakses media sosial dan permainan daring. Namun, penggunaan ini tidak diimbangi dengan pemahaman yang memadai tentang resiko dan etika digital, sehingga tidak banyak yang tahu tentang potensi ancaman seperti penipuan daring, perundungan siber, hingga penyebaran hoaks. Menanggapi temuan tersebut, tim pengabdi kemudian mengadakan acara </w:t>
      </w:r>
      <w:r w:rsidRPr="005F14BD">
        <w:rPr>
          <w:rFonts w:asciiTheme="minorBidi" w:eastAsia="Arial" w:hAnsiTheme="minorBidi" w:cstheme="minorBidi"/>
          <w:i/>
          <w:iCs/>
          <w:sz w:val="24"/>
          <w:szCs w:val="24"/>
          <w:lang w:val="en-US"/>
        </w:rPr>
        <w:t xml:space="preserve">Workshop </w:t>
      </w:r>
      <w:r w:rsidRPr="005F14BD">
        <w:rPr>
          <w:rFonts w:asciiTheme="minorBidi" w:eastAsia="Arial" w:hAnsiTheme="minorBidi" w:cstheme="minorBidi"/>
          <w:sz w:val="24"/>
          <w:szCs w:val="24"/>
          <w:lang w:val="en-US"/>
        </w:rPr>
        <w:t>Literasi Digital sebagai respon awa; terhadap kebutuhan peningkatan kesadaran dan kemampuan digital generasi muda.</w:t>
      </w:r>
    </w:p>
    <w:p w14:paraId="57FBA5D0" w14:textId="77777777" w:rsidR="00155912" w:rsidRPr="005F14BD" w:rsidRDefault="00426C08" w:rsidP="005F14BD">
      <w:pPr>
        <w:tabs>
          <w:tab w:val="left" w:pos="284"/>
        </w:tabs>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Workshop dilaksanakan pada tanggal 4 Agustus 2024 di Pendopo Kampus Universitas Negeri Yogyakarta (UNY) Gunungkidul dan dihadiri 51 peserta yang merupakan perwakilan dari Karang Taruna, pelajar, serta warga. Acara dimulai pukul 09.00 WIB dengan pembukaan oleh Ketua Tim Pengabdi, dan dilanjutkan secara bergantian sambutan dari perwakilan pejabat Desa dan perwakilan Karang Taruna.</w:t>
      </w:r>
    </w:p>
    <w:p w14:paraId="6C151139" w14:textId="77777777" w:rsidR="00155912" w:rsidRPr="005F14BD" w:rsidRDefault="00426C08" w:rsidP="005F14BD">
      <w:pPr>
        <w:tabs>
          <w:tab w:val="left" w:pos="284"/>
        </w:tabs>
        <w:spacing w:line="276" w:lineRule="auto"/>
        <w:rPr>
          <w:rFonts w:asciiTheme="minorBidi" w:eastAsia="Arial" w:hAnsiTheme="minorBidi" w:cstheme="minorBidi"/>
          <w:sz w:val="24"/>
          <w:szCs w:val="24"/>
          <w:lang w:val="en-US"/>
        </w:rPr>
      </w:pPr>
      <w:r w:rsidRPr="005F14BD">
        <w:rPr>
          <w:rFonts w:asciiTheme="minorBidi" w:eastAsia="Arial" w:hAnsiTheme="minorBidi" w:cstheme="minorBidi"/>
          <w:sz w:val="24"/>
          <w:szCs w:val="24"/>
          <w:lang w:val="en-US"/>
        </w:rPr>
        <w:t>S</w:t>
      </w:r>
      <w:r w:rsidRPr="00155912">
        <w:rPr>
          <w:rFonts w:asciiTheme="minorBidi" w:eastAsia="Arial" w:hAnsiTheme="minorBidi" w:cstheme="minorBidi"/>
          <w:sz w:val="24"/>
          <w:szCs w:val="24"/>
          <w:lang w:val="en-US"/>
        </w:rPr>
        <w:t xml:space="preserve">esi pertama workshop menghadirkan narasumber Fikri Disyacitta, M.A., yang menyampaikan materi bertema “Mengenal dan Menghadapi Ancaman </w:t>
      </w:r>
      <w:r w:rsidRPr="00155912">
        <w:rPr>
          <w:rFonts w:asciiTheme="minorBidi" w:eastAsia="Arial" w:hAnsiTheme="minorBidi" w:cstheme="minorBidi"/>
          <w:i/>
          <w:iCs/>
          <w:sz w:val="24"/>
          <w:szCs w:val="24"/>
          <w:lang w:val="en-US"/>
        </w:rPr>
        <w:t>Cyber Crime</w:t>
      </w:r>
      <w:r w:rsidRPr="00155912">
        <w:rPr>
          <w:rFonts w:asciiTheme="minorBidi" w:eastAsia="Arial" w:hAnsiTheme="minorBidi" w:cstheme="minorBidi"/>
          <w:sz w:val="24"/>
          <w:szCs w:val="24"/>
          <w:lang w:val="en-US"/>
        </w:rPr>
        <w:t xml:space="preserve">”. Dalam pemaparannya, beliau menjelaskan secara rinci tentang jenis-jenis kejahatan siber yang umum terjadi di kalangan masyarakat pedesaan, seperti phishing, ransomware, dan </w:t>
      </w:r>
      <w:r w:rsidRPr="00155912">
        <w:rPr>
          <w:rFonts w:asciiTheme="minorBidi" w:eastAsia="Arial" w:hAnsiTheme="minorBidi" w:cstheme="minorBidi"/>
          <w:i/>
          <w:iCs/>
          <w:sz w:val="24"/>
          <w:szCs w:val="24"/>
          <w:lang w:val="en-US"/>
        </w:rPr>
        <w:t>online fraud</w:t>
      </w:r>
      <w:r w:rsidRPr="00155912">
        <w:rPr>
          <w:rFonts w:asciiTheme="minorBidi" w:eastAsia="Arial" w:hAnsiTheme="minorBidi" w:cstheme="minorBidi"/>
          <w:sz w:val="24"/>
          <w:szCs w:val="24"/>
          <w:lang w:val="en-US"/>
        </w:rPr>
        <w:t>. Disampaikan pula tips praktis dalam menjaga keamanan data pribadi, termasuk penggunaan kata sandi yang kuat, verifikasi dua langkah, serta pentingnya mengenali tautan mencurigakan. Peserta terlihat aktif dan antusias, beberapa di antaranya mengangkat pertanyaan seputar pengalaman pribadi mereka terkait penipuan online yang pernah dialami.</w:t>
      </w:r>
    </w:p>
    <w:p w14:paraId="7F42B0CA" w14:textId="77777777" w:rsidR="00155912" w:rsidRPr="00155912" w:rsidRDefault="00155912" w:rsidP="005F14BD">
      <w:pPr>
        <w:tabs>
          <w:tab w:val="left" w:pos="284"/>
        </w:tabs>
        <w:spacing w:line="276" w:lineRule="auto"/>
        <w:rPr>
          <w:rFonts w:asciiTheme="minorBidi" w:eastAsia="Arial" w:hAnsiTheme="minorBidi" w:cstheme="minorBidi"/>
          <w:sz w:val="24"/>
          <w:szCs w:val="24"/>
          <w:lang w:val="en-US"/>
        </w:rPr>
      </w:pPr>
    </w:p>
    <w:p w14:paraId="3C85239A"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5AB3AC47" w14:textId="77777777" w:rsidR="00155912" w:rsidRPr="005F14BD" w:rsidRDefault="00426C08" w:rsidP="005F14BD">
      <w:pPr>
        <w:tabs>
          <w:tab w:val="left" w:pos="284"/>
        </w:tabs>
        <w:spacing w:line="276" w:lineRule="auto"/>
        <w:rPr>
          <w:rFonts w:asciiTheme="minorBidi" w:eastAsia="Arial" w:hAnsiTheme="minorBidi" w:cstheme="minorBidi"/>
          <w:sz w:val="24"/>
          <w:szCs w:val="24"/>
          <w:lang w:val="en-US"/>
        </w:rPr>
      </w:pPr>
      <w:r w:rsidRPr="005F14BD">
        <w:rPr>
          <w:rFonts w:asciiTheme="minorBidi" w:eastAsia="Arial" w:hAnsiTheme="minorBidi" w:cstheme="minorBidi"/>
          <w:noProof/>
          <w:sz w:val="24"/>
          <w:szCs w:val="24"/>
          <w:lang w:val="en-US"/>
        </w:rPr>
        <w:lastRenderedPageBreak/>
        <mc:AlternateContent>
          <mc:Choice Requires="wpg">
            <w:drawing>
              <wp:anchor distT="0" distB="0" distL="114300" distR="114300" simplePos="0" relativeHeight="251660288" behindDoc="1" locked="0" layoutInCell="1" allowOverlap="1" wp14:anchorId="64363F18" wp14:editId="101F5F9A">
                <wp:simplePos x="0" y="0"/>
                <wp:positionH relativeFrom="margin">
                  <wp:align>center</wp:align>
                </wp:positionH>
                <wp:positionV relativeFrom="paragraph">
                  <wp:posOffset>-145879</wp:posOffset>
                </wp:positionV>
                <wp:extent cx="5273085" cy="1763986"/>
                <wp:effectExtent l="0" t="0" r="3810" b="8255"/>
                <wp:wrapNone/>
                <wp:docPr id="9" name="Group 9"/>
                <wp:cNvGraphicFramePr/>
                <a:graphic xmlns:a="http://schemas.openxmlformats.org/drawingml/2006/main">
                  <a:graphicData uri="http://schemas.microsoft.com/office/word/2010/wordprocessingGroup">
                    <wpg:wgp>
                      <wpg:cNvGrpSpPr/>
                      <wpg:grpSpPr>
                        <a:xfrm>
                          <a:off x="0" y="0"/>
                          <a:ext cx="5273085" cy="1763986"/>
                          <a:chOff x="0" y="0"/>
                          <a:chExt cx="5858244" cy="2093595"/>
                        </a:xfrm>
                      </wpg:grpSpPr>
                      <pic:pic xmlns:pic="http://schemas.openxmlformats.org/drawingml/2006/picture">
                        <pic:nvPicPr>
                          <pic:cNvPr id="7" name="Picture 7"/>
                          <pic:cNvPicPr>
                            <a:picLocks noChangeAspect="1"/>
                          </pic:cNvPicPr>
                        </pic:nvPicPr>
                        <pic:blipFill>
                          <a:blip r:embed="rId20" cstate="print">
                            <a:extLst>
                              <a:ext uri="{28A0092B-C50C-407E-A947-70E740481C1C}">
                                <a14:useLocalDpi xmlns:a14="http://schemas.microsoft.com/office/drawing/2010/main" val="0"/>
                              </a:ext>
                            </a:extLst>
                          </a:blip>
                          <a:srcRect l="-2841" t="38050" r="2841" b="5661"/>
                          <a:stretch>
                            <a:fillRect/>
                          </a:stretch>
                        </pic:blipFill>
                        <pic:spPr bwMode="auto">
                          <a:xfrm>
                            <a:off x="0" y="0"/>
                            <a:ext cx="2089785" cy="2089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137144" y="0"/>
                            <a:ext cx="3721100" cy="20935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9" o:spid="_x0000_s1025" style="width:415.2pt;height:138.9pt;margin-top:-11.5pt;margin-left:0;mso-height-relative:margin;mso-position-horizontal:center;mso-position-horizontal-relative:margin;mso-width-relative:margin;position:absolute;z-index:-251655168" coordsize="58582,20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width:20897;height:20897;mso-wrap-style:square;position:absolute;visibility:visible">
                  <v:imagedata r:id="rId26" o:title="" croptop="24936f" cropbottom="3710f" cropleft="-1862f" cropright="1862f"/>
                </v:shape>
                <v:shape id="Picture 8" o:spid="_x0000_s1027" type="#_x0000_t75" style="width:37211;height:20935;left:21371;mso-wrap-style:square;position:absolute;visibility:visible">
                  <v:imagedata r:id="rId27" o:title=""/>
                </v:shape>
                <w10:wrap anchorx="margin"/>
              </v:group>
            </w:pict>
          </mc:Fallback>
        </mc:AlternateContent>
      </w:r>
    </w:p>
    <w:p w14:paraId="39E4F7C2"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2001B0C2"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7BE6CFCD"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60BED6B2"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143F41CF" w14:textId="77777777" w:rsidR="00155912" w:rsidRPr="005F14BD" w:rsidRDefault="00155912" w:rsidP="005F14BD">
      <w:pPr>
        <w:tabs>
          <w:tab w:val="left" w:pos="284"/>
        </w:tabs>
        <w:spacing w:line="276" w:lineRule="auto"/>
        <w:rPr>
          <w:rFonts w:asciiTheme="minorBidi" w:eastAsia="Arial" w:hAnsiTheme="minorBidi" w:cstheme="minorBidi"/>
          <w:sz w:val="24"/>
          <w:szCs w:val="24"/>
          <w:lang w:val="en-US"/>
        </w:rPr>
      </w:pPr>
    </w:p>
    <w:p w14:paraId="59CC5F31" w14:textId="77777777" w:rsidR="005549B4" w:rsidRPr="005F14BD" w:rsidRDefault="005549B4" w:rsidP="005F14BD">
      <w:pPr>
        <w:tabs>
          <w:tab w:val="left" w:pos="284"/>
        </w:tabs>
        <w:spacing w:line="276" w:lineRule="auto"/>
        <w:rPr>
          <w:rFonts w:asciiTheme="minorBidi" w:eastAsia="Arial" w:hAnsiTheme="minorBidi" w:cstheme="minorBidi"/>
          <w:sz w:val="24"/>
          <w:szCs w:val="24"/>
          <w:lang w:val="en-US"/>
        </w:rPr>
      </w:pPr>
    </w:p>
    <w:p w14:paraId="106CAF19" w14:textId="77777777" w:rsidR="001E0390" w:rsidRPr="005F14BD" w:rsidRDefault="001E0390" w:rsidP="005F14BD">
      <w:pPr>
        <w:tabs>
          <w:tab w:val="left" w:pos="284"/>
        </w:tabs>
        <w:spacing w:line="276" w:lineRule="auto"/>
        <w:jc w:val="center"/>
        <w:rPr>
          <w:rFonts w:asciiTheme="minorBidi" w:eastAsia="Arial" w:hAnsiTheme="minorBidi" w:cstheme="minorBidi"/>
          <w:sz w:val="24"/>
          <w:szCs w:val="24"/>
        </w:rPr>
      </w:pPr>
    </w:p>
    <w:p w14:paraId="348612D2" w14:textId="77777777" w:rsidR="001E0390" w:rsidRPr="005F14BD" w:rsidRDefault="001E0390" w:rsidP="005F14BD">
      <w:pPr>
        <w:tabs>
          <w:tab w:val="left" w:pos="284"/>
        </w:tabs>
        <w:spacing w:line="276" w:lineRule="auto"/>
        <w:jc w:val="center"/>
        <w:rPr>
          <w:rFonts w:asciiTheme="minorBidi" w:eastAsia="Arial" w:hAnsiTheme="minorBidi" w:cstheme="minorBidi"/>
          <w:sz w:val="24"/>
          <w:szCs w:val="24"/>
        </w:rPr>
      </w:pPr>
    </w:p>
    <w:p w14:paraId="168CD9BC" w14:textId="77777777" w:rsidR="005549B4" w:rsidRPr="005F14BD" w:rsidRDefault="00426C08" w:rsidP="005F14BD">
      <w:pPr>
        <w:tabs>
          <w:tab w:val="left" w:pos="284"/>
        </w:tabs>
        <w:spacing w:line="276" w:lineRule="auto"/>
        <w:jc w:val="center"/>
        <w:rPr>
          <w:rFonts w:asciiTheme="minorBidi" w:eastAsia="Arial" w:hAnsiTheme="minorBidi" w:cstheme="minorBidi"/>
          <w:sz w:val="24"/>
          <w:szCs w:val="24"/>
          <w:lang w:val="en-US"/>
        </w:rPr>
      </w:pPr>
      <w:r w:rsidRPr="005F14BD">
        <w:rPr>
          <w:rFonts w:asciiTheme="minorBidi" w:eastAsia="Arial" w:hAnsiTheme="minorBidi" w:cstheme="minorBidi"/>
          <w:sz w:val="24"/>
          <w:szCs w:val="24"/>
        </w:rPr>
        <w:t xml:space="preserve">Gambar </w:t>
      </w:r>
      <w:r w:rsidRPr="005F14BD">
        <w:rPr>
          <w:rFonts w:asciiTheme="minorBidi" w:eastAsia="Arial" w:hAnsiTheme="minorBidi" w:cstheme="minorBidi"/>
          <w:sz w:val="24"/>
          <w:szCs w:val="24"/>
          <w:lang w:val="en-US"/>
        </w:rPr>
        <w:t>2</w:t>
      </w:r>
      <w:r w:rsidRPr="005F14BD">
        <w:rPr>
          <w:rFonts w:asciiTheme="minorBidi" w:eastAsia="Arial" w:hAnsiTheme="minorBidi" w:cstheme="minorBidi"/>
          <w:sz w:val="24"/>
          <w:szCs w:val="24"/>
        </w:rPr>
        <w:t xml:space="preserve">. </w:t>
      </w:r>
      <w:r w:rsidRPr="005F14BD">
        <w:rPr>
          <w:rFonts w:asciiTheme="minorBidi" w:eastAsia="Arial" w:hAnsiTheme="minorBidi" w:cstheme="minorBidi"/>
          <w:sz w:val="24"/>
          <w:szCs w:val="24"/>
          <w:lang w:val="en-US"/>
        </w:rPr>
        <w:t xml:space="preserve">Pelaksanaan </w:t>
      </w:r>
      <w:r w:rsidRPr="005F14BD">
        <w:rPr>
          <w:rFonts w:asciiTheme="minorBidi" w:eastAsia="Arial" w:hAnsiTheme="minorBidi" w:cstheme="minorBidi"/>
          <w:i/>
          <w:iCs/>
          <w:sz w:val="24"/>
          <w:szCs w:val="24"/>
          <w:lang w:val="en-US"/>
        </w:rPr>
        <w:t xml:space="preserve">workshop </w:t>
      </w:r>
      <w:r w:rsidRPr="005F14BD">
        <w:rPr>
          <w:rFonts w:asciiTheme="minorBidi" w:eastAsia="Arial" w:hAnsiTheme="minorBidi" w:cstheme="minorBidi"/>
          <w:sz w:val="24"/>
          <w:szCs w:val="24"/>
          <w:lang w:val="en-US"/>
        </w:rPr>
        <w:t>literasi digital</w:t>
      </w:r>
    </w:p>
    <w:p w14:paraId="3489B3CD" w14:textId="77777777" w:rsidR="00564BE8" w:rsidRPr="005F14BD" w:rsidRDefault="00426C08" w:rsidP="005F14BD">
      <w:pPr>
        <w:tabs>
          <w:tab w:val="left" w:pos="284"/>
        </w:tabs>
        <w:spacing w:line="276" w:lineRule="auto"/>
        <w:rPr>
          <w:rFonts w:asciiTheme="minorBidi" w:eastAsia="Arial" w:hAnsiTheme="minorBidi" w:cstheme="minorBidi"/>
          <w:sz w:val="24"/>
          <w:szCs w:val="24"/>
          <w:lang w:val="en-US"/>
        </w:rPr>
      </w:pPr>
      <w:r w:rsidRPr="00155912">
        <w:rPr>
          <w:rFonts w:asciiTheme="minorBidi" w:eastAsia="Arial" w:hAnsiTheme="minorBidi" w:cstheme="minorBidi"/>
          <w:sz w:val="24"/>
          <w:szCs w:val="24"/>
          <w:lang w:val="en-US"/>
        </w:rPr>
        <w:t>Setelah jeda istirahat, sesi berikutnya membahas etika dan tanggung jawab digital, yang menyasar pentingnya kesadaran akan jejak digital dan sikap etis dalam bermedia sosial. Workshop ini mengajak peserta untuk melakukan simulasi deteksi informasi palsu dan membuat narasi positif sebagai bagian dari literasi digital aktif. Di hari kedua, peserta dilibatkan dalam praktik membuat poster kampanye bertema “Bijak Bermedia di Era Digital”, dengan memanfaatkan aplikasi desain sederhana melalui gawai masing-masing. Hasil karya kemudian dicetak dan dipajang di beberapa titik strategis desa sebagai bagian dari kampanye masyarakat.</w:t>
      </w:r>
      <w:r w:rsidR="00C94D11" w:rsidRPr="005F14BD">
        <w:rPr>
          <w:rFonts w:asciiTheme="minorBidi" w:eastAsia="Arial" w:hAnsiTheme="minorBidi" w:cstheme="minorBidi"/>
          <w:sz w:val="24"/>
          <w:szCs w:val="24"/>
          <w:lang w:val="en-US"/>
        </w:rPr>
        <w:t xml:space="preserve"> </w:t>
      </w:r>
      <w:r w:rsidRPr="005F14BD">
        <w:rPr>
          <w:rFonts w:asciiTheme="minorBidi" w:eastAsia="Arial" w:hAnsiTheme="minorBidi" w:cstheme="minorBidi"/>
          <w:sz w:val="24"/>
          <w:szCs w:val="24"/>
          <w:lang w:val="en-US"/>
        </w:rPr>
        <w:t>Dalam acara ini juga ditampilkan beberapa poster yang meliputi tiga tema, yaitu: “Waspada Bahaya Pinjol Ilegal” yang menyoroti risiko pinjaman online seperti bunga tinggi, pelanggaran privasi, dan ancaman hukum; "Tips Menghindari Penipuan Online" yang memuat panduan praktis seperti verifikasi tautan, penggunaan kata sandi kuat, dan menjaga data pribadi; serta "Bahaya Judi Online" yang mengedukasi tentang dampak negatif judi digital seperti kecanduan, stres, dan kerusakan hubungan sosial.</w:t>
      </w:r>
      <w:r w:rsidR="00C94D11" w:rsidRPr="005F14BD">
        <w:rPr>
          <w:rFonts w:asciiTheme="minorBidi" w:eastAsia="Arial" w:hAnsiTheme="minorBidi" w:cstheme="minorBidi"/>
          <w:sz w:val="24"/>
          <w:szCs w:val="24"/>
          <w:lang w:val="en-US"/>
        </w:rPr>
        <w:t xml:space="preserve"> Setiap poster dirancang secara komunikatif dengan tampilan visual yang menarik dan mudah dipahami, sehingga dapat menjangkau khalayak luas dari berbagai usia.</w:t>
      </w:r>
    </w:p>
    <w:p w14:paraId="21C38349" w14:textId="77777777" w:rsidR="00C94D11" w:rsidRPr="005F14BD" w:rsidRDefault="00426C08" w:rsidP="005F14BD">
      <w:pPr>
        <w:tabs>
          <w:tab w:val="left" w:pos="284"/>
        </w:tabs>
        <w:spacing w:line="276" w:lineRule="auto"/>
        <w:rPr>
          <w:rFonts w:asciiTheme="minorBidi" w:eastAsia="Arial" w:hAnsiTheme="minorBidi" w:cstheme="minorBidi"/>
          <w:sz w:val="24"/>
          <w:szCs w:val="24"/>
          <w:lang w:val="en-US"/>
        </w:rPr>
      </w:pPr>
      <w:r w:rsidRPr="005F14BD">
        <w:rPr>
          <w:rFonts w:asciiTheme="minorBidi" w:hAnsiTheme="minorBidi" w:cstheme="minorBidi"/>
          <w:noProof/>
          <w:sz w:val="24"/>
          <w:szCs w:val="24"/>
        </w:rPr>
        <mc:AlternateContent>
          <mc:Choice Requires="wpg">
            <w:drawing>
              <wp:anchor distT="0" distB="0" distL="114300" distR="114300" simplePos="0" relativeHeight="251662336" behindDoc="0" locked="0" layoutInCell="1" allowOverlap="1" wp14:anchorId="1EA34F4B" wp14:editId="7A25BA7F">
                <wp:simplePos x="0" y="0"/>
                <wp:positionH relativeFrom="column">
                  <wp:posOffset>1098285</wp:posOffset>
                </wp:positionH>
                <wp:positionV relativeFrom="paragraph">
                  <wp:posOffset>71327</wp:posOffset>
                </wp:positionV>
                <wp:extent cx="3710393" cy="2059851"/>
                <wp:effectExtent l="0" t="0" r="4445" b="0"/>
                <wp:wrapNone/>
                <wp:docPr id="5" name="Group 5"/>
                <wp:cNvGraphicFramePr/>
                <a:graphic xmlns:a="http://schemas.openxmlformats.org/drawingml/2006/main">
                  <a:graphicData uri="http://schemas.microsoft.com/office/word/2010/wordprocessingGroup">
                    <wpg:wgp>
                      <wpg:cNvGrpSpPr/>
                      <wpg:grpSpPr>
                        <a:xfrm>
                          <a:off x="0" y="0"/>
                          <a:ext cx="3710393" cy="2059851"/>
                          <a:chOff x="0" y="0"/>
                          <a:chExt cx="5461212" cy="2533015"/>
                        </a:xfrm>
                      </wpg:grpSpPr>
                      <pic:pic xmlns:pic="http://schemas.openxmlformats.org/drawingml/2006/picture">
                        <pic:nvPicPr>
                          <pic:cNvPr id="2" name="Picture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822027" y="0"/>
                            <a:ext cx="1790700" cy="2533015"/>
                          </a:xfrm>
                          <a:prstGeom prst="rect">
                            <a:avLst/>
                          </a:prstGeom>
                        </pic:spPr>
                      </pic:pic>
                      <pic:pic xmlns:pic="http://schemas.openxmlformats.org/drawingml/2006/picture">
                        <pic:nvPicPr>
                          <pic:cNvPr id="3" name="Picture 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20320"/>
                            <a:ext cx="1776095" cy="2512695"/>
                          </a:xfrm>
                          <a:prstGeom prst="rect">
                            <a:avLst/>
                          </a:prstGeom>
                        </pic:spPr>
                      </pic:pic>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3671147" y="0"/>
                            <a:ext cx="1790065" cy="25330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 o:spid="_x0000_s1028" style="width:292.15pt;height:162.2pt;margin-top:5.6pt;margin-left:86.5pt;mso-height-relative:margin;mso-width-relative:margin;position:absolute;z-index:251663360" coordsize="54612,25330">
                <v:shape id="Picture 2" o:spid="_x0000_s1029" type="#_x0000_t75" style="width:17907;height:25330;left:18220;mso-wrap-style:square;position:absolute;visibility:visible">
                  <v:imagedata r:id="rId31" o:title=""/>
                </v:shape>
                <v:shape id="Picture 3" o:spid="_x0000_s1030" type="#_x0000_t75" style="width:17760;height:25127;mso-wrap-style:square;position:absolute;top:203;visibility:visible">
                  <v:imagedata r:id="rId32" o:title=""/>
                </v:shape>
                <v:shape id="Picture 4" o:spid="_x0000_s1031" type="#_x0000_t75" style="width:17901;height:25330;left:36711;mso-wrap-style:square;position:absolute;visibility:visible">
                  <v:imagedata r:id="rId33" o:title=""/>
                </v:shape>
              </v:group>
            </w:pict>
          </mc:Fallback>
        </mc:AlternateContent>
      </w:r>
    </w:p>
    <w:p w14:paraId="649049C1"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0E6A60D6"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22119E8D"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18FC5287"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22F6CD93" w14:textId="77777777" w:rsidR="00C94D11" w:rsidRPr="00155912" w:rsidRDefault="00C94D11" w:rsidP="005F14BD">
      <w:pPr>
        <w:tabs>
          <w:tab w:val="left" w:pos="284"/>
        </w:tabs>
        <w:spacing w:line="276" w:lineRule="auto"/>
        <w:rPr>
          <w:rFonts w:asciiTheme="minorBidi" w:eastAsia="Arial" w:hAnsiTheme="minorBidi" w:cstheme="minorBidi"/>
          <w:sz w:val="24"/>
          <w:szCs w:val="24"/>
          <w:lang w:val="en-US"/>
        </w:rPr>
      </w:pPr>
    </w:p>
    <w:p w14:paraId="713953A5"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3F4AD994"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3589C753"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01B09CB7"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6F78B89F" w14:textId="77777777" w:rsidR="005549B4" w:rsidRPr="005F14BD" w:rsidRDefault="005549B4" w:rsidP="005F14BD">
      <w:pPr>
        <w:tabs>
          <w:tab w:val="left" w:pos="284"/>
        </w:tabs>
        <w:spacing w:line="276" w:lineRule="auto"/>
        <w:jc w:val="center"/>
        <w:rPr>
          <w:rFonts w:asciiTheme="minorBidi" w:eastAsia="Arial" w:hAnsiTheme="minorBidi" w:cstheme="minorBidi"/>
          <w:sz w:val="24"/>
          <w:szCs w:val="24"/>
          <w:lang w:val="en-US"/>
        </w:rPr>
      </w:pPr>
    </w:p>
    <w:p w14:paraId="054FA90C" w14:textId="77777777" w:rsidR="00C94D11" w:rsidRPr="005F14BD" w:rsidRDefault="00426C08" w:rsidP="005F14BD">
      <w:pPr>
        <w:tabs>
          <w:tab w:val="left" w:pos="284"/>
        </w:tabs>
        <w:spacing w:line="276" w:lineRule="auto"/>
        <w:jc w:val="center"/>
        <w:rPr>
          <w:rFonts w:asciiTheme="minorBidi" w:eastAsia="Arial" w:hAnsiTheme="minorBidi" w:cstheme="minorBidi"/>
          <w:i/>
          <w:iCs/>
          <w:sz w:val="24"/>
          <w:szCs w:val="24"/>
          <w:lang w:val="en-US"/>
        </w:rPr>
      </w:pPr>
      <w:r w:rsidRPr="005F14BD">
        <w:rPr>
          <w:rFonts w:asciiTheme="minorBidi" w:eastAsia="Arial" w:hAnsiTheme="minorBidi" w:cstheme="minorBidi"/>
          <w:sz w:val="24"/>
          <w:szCs w:val="24"/>
        </w:rPr>
        <w:t xml:space="preserve">Gambar </w:t>
      </w:r>
      <w:r w:rsidRPr="005F14BD">
        <w:rPr>
          <w:rFonts w:asciiTheme="minorBidi" w:eastAsia="Arial" w:hAnsiTheme="minorBidi" w:cstheme="minorBidi"/>
          <w:sz w:val="24"/>
          <w:szCs w:val="24"/>
          <w:lang w:val="en-US"/>
        </w:rPr>
        <w:t>3</w:t>
      </w:r>
      <w:r w:rsidRPr="005F14BD">
        <w:rPr>
          <w:rFonts w:asciiTheme="minorBidi" w:eastAsia="Arial" w:hAnsiTheme="minorBidi" w:cstheme="minorBidi"/>
          <w:sz w:val="24"/>
          <w:szCs w:val="24"/>
        </w:rPr>
        <w:t xml:space="preserve">. </w:t>
      </w:r>
      <w:r w:rsidRPr="005F14BD">
        <w:rPr>
          <w:rFonts w:asciiTheme="minorBidi" w:eastAsia="Arial" w:hAnsiTheme="minorBidi" w:cstheme="minorBidi"/>
          <w:sz w:val="24"/>
          <w:szCs w:val="24"/>
          <w:lang w:val="en-US"/>
        </w:rPr>
        <w:t xml:space="preserve">Poster tentang </w:t>
      </w:r>
      <w:r w:rsidRPr="005F14BD">
        <w:rPr>
          <w:rFonts w:asciiTheme="minorBidi" w:eastAsia="Arial" w:hAnsiTheme="minorBidi" w:cstheme="minorBidi"/>
          <w:i/>
          <w:iCs/>
          <w:sz w:val="24"/>
          <w:szCs w:val="24"/>
          <w:lang w:val="en-US"/>
        </w:rPr>
        <w:t>Cyber Crime</w:t>
      </w:r>
    </w:p>
    <w:p w14:paraId="5C14F086" w14:textId="77777777" w:rsidR="00C94D11" w:rsidRPr="005F14BD" w:rsidRDefault="00C94D11" w:rsidP="005F14BD">
      <w:pPr>
        <w:tabs>
          <w:tab w:val="left" w:pos="284"/>
        </w:tabs>
        <w:spacing w:line="276" w:lineRule="auto"/>
        <w:rPr>
          <w:rFonts w:asciiTheme="minorBidi" w:eastAsia="Arial" w:hAnsiTheme="minorBidi" w:cstheme="minorBidi"/>
          <w:sz w:val="24"/>
          <w:szCs w:val="24"/>
          <w:lang w:val="en-US"/>
        </w:rPr>
      </w:pPr>
    </w:p>
    <w:p w14:paraId="2A5C233E" w14:textId="77777777" w:rsidR="00155912" w:rsidRPr="00155912" w:rsidRDefault="00426C08" w:rsidP="005F14BD">
      <w:pPr>
        <w:tabs>
          <w:tab w:val="left" w:pos="284"/>
        </w:tabs>
        <w:spacing w:line="276" w:lineRule="auto"/>
        <w:rPr>
          <w:rFonts w:asciiTheme="minorBidi" w:eastAsia="Times New Roman" w:hAnsiTheme="minorBidi" w:cstheme="minorBidi"/>
          <w:sz w:val="24"/>
          <w:szCs w:val="24"/>
          <w:lang w:val="en-ID"/>
        </w:rPr>
      </w:pPr>
      <w:r w:rsidRPr="00155912">
        <w:rPr>
          <w:rFonts w:asciiTheme="minorBidi" w:eastAsia="Arial" w:hAnsiTheme="minorBidi" w:cstheme="minorBidi"/>
          <w:sz w:val="24"/>
          <w:szCs w:val="24"/>
          <w:lang w:val="en-US"/>
        </w:rPr>
        <w:t>Kegiatan workshop ditutup dengan refleksi bersama dan motivasi oleh tim pengabdi. Dalam penutupnya, disampaikan harapan agar peserta menjadi agen literasi digital di lingkungan masing-masing. Acara resmi berakhir pukul 1</w:t>
      </w:r>
      <w:r w:rsidR="00564BE8" w:rsidRPr="005F14BD">
        <w:rPr>
          <w:rFonts w:asciiTheme="minorBidi" w:eastAsia="Arial" w:hAnsiTheme="minorBidi" w:cstheme="minorBidi"/>
          <w:sz w:val="24"/>
          <w:szCs w:val="24"/>
          <w:lang w:val="en-US"/>
        </w:rPr>
        <w:t>3</w:t>
      </w:r>
      <w:r w:rsidRPr="00155912">
        <w:rPr>
          <w:rFonts w:asciiTheme="minorBidi" w:eastAsia="Arial" w:hAnsiTheme="minorBidi" w:cstheme="minorBidi"/>
          <w:sz w:val="24"/>
          <w:szCs w:val="24"/>
          <w:lang w:val="en-US"/>
        </w:rPr>
        <w:t xml:space="preserve">.00 WIB dengan suasana </w:t>
      </w:r>
      <w:r w:rsidRPr="00155912">
        <w:rPr>
          <w:rFonts w:asciiTheme="minorBidi" w:eastAsia="Arial" w:hAnsiTheme="minorBidi" w:cstheme="minorBidi"/>
          <w:sz w:val="24"/>
          <w:szCs w:val="24"/>
          <w:lang w:val="en-US"/>
        </w:rPr>
        <w:lastRenderedPageBreak/>
        <w:t>penuh semangat dan optimisme. Berdasarkan hasil evaluasi, indikator keberhasilan kegiatan ditunjukkan dengan meningkatnya pemahaman peserta (terlihat dari hasil post-test yang menunjukkan kenaikan skor rata-rata sebesar 32% dibanding pre-test), serta munculnya inisiatif peserta untuk menyebarkan pengetahuan yang diperoleh kepada komunitas sekitar. Keunggulan kegiatan ini adalah pendekatan yang partisipatif dan aplikatif, meski di sisi lain tantangan berupa keterbatasan perangkat digital pribadi masih menjadi kendala dalam optimalisasi praktik daring peserta.</w:t>
      </w:r>
    </w:p>
    <w:p w14:paraId="2BC0BDD8"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1C3FC36A" w14:textId="77777777" w:rsidR="00920101"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lang w:val="en-US"/>
        </w:rPr>
        <w:t xml:space="preserve">3.3. </w:t>
      </w:r>
      <w:r w:rsidRPr="005F14BD">
        <w:rPr>
          <w:rFonts w:asciiTheme="minorBidi" w:eastAsia="Arial" w:hAnsiTheme="minorBidi" w:cstheme="minorBidi"/>
          <w:sz w:val="24"/>
          <w:szCs w:val="24"/>
        </w:rPr>
        <w:t>Evaluasi</w:t>
      </w:r>
    </w:p>
    <w:p w14:paraId="553878F9" w14:textId="77777777" w:rsidR="00920101"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Evaluasi ini melibatkan berbagai aspek, mulai dari kehadiran peserta, kualitas materi, dan interaksi antara pengabdian dengan masyarakat:</w:t>
      </w:r>
    </w:p>
    <w:p w14:paraId="7285BC86" w14:textId="77777777" w:rsidR="00C94D11" w:rsidRPr="005F14BD" w:rsidRDefault="00426C08" w:rsidP="005F14BD">
      <w:pPr>
        <w:pStyle w:val="ListParagraph"/>
        <w:numPr>
          <w:ilvl w:val="1"/>
          <w:numId w:val="1"/>
        </w:numPr>
        <w:spacing w:line="276" w:lineRule="auto"/>
        <w:ind w:left="360"/>
        <w:rPr>
          <w:rFonts w:asciiTheme="minorBidi" w:eastAsia="Arial" w:hAnsiTheme="minorBidi" w:cstheme="minorBidi"/>
          <w:sz w:val="24"/>
          <w:szCs w:val="24"/>
        </w:rPr>
      </w:pPr>
      <w:r w:rsidRPr="005F14BD">
        <w:rPr>
          <w:rFonts w:asciiTheme="minorBidi" w:eastAsia="Arial" w:hAnsiTheme="minorBidi" w:cstheme="minorBidi"/>
          <w:sz w:val="24"/>
          <w:szCs w:val="24"/>
        </w:rPr>
        <w:t>Kehadiran dan Partisipasi Masyarakat</w:t>
      </w:r>
    </w:p>
    <w:p w14:paraId="0F9E593E"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t>Secara keseluruhan, kehadiran masyarakat cukup baik, dengan rata-rata 70-80% dari target peserta mengikuti setiap sesi pelatihan dan sosialisasi.</w:t>
      </w:r>
    </w:p>
    <w:p w14:paraId="48D25D0A" w14:textId="77777777" w:rsidR="00920101" w:rsidRPr="005F14BD" w:rsidRDefault="00426C08" w:rsidP="005F14BD">
      <w:pPr>
        <w:pStyle w:val="ListParagraph"/>
        <w:numPr>
          <w:ilvl w:val="1"/>
          <w:numId w:val="1"/>
        </w:numPr>
        <w:spacing w:line="276" w:lineRule="auto"/>
        <w:ind w:left="360"/>
        <w:rPr>
          <w:rFonts w:asciiTheme="minorBidi" w:eastAsia="Arial" w:hAnsiTheme="minorBidi" w:cstheme="minorBidi"/>
          <w:sz w:val="24"/>
          <w:szCs w:val="24"/>
        </w:rPr>
      </w:pPr>
      <w:r w:rsidRPr="005F14BD">
        <w:rPr>
          <w:rFonts w:asciiTheme="minorBidi" w:eastAsia="Arial" w:hAnsiTheme="minorBidi" w:cstheme="minorBidi"/>
          <w:sz w:val="24"/>
          <w:szCs w:val="24"/>
        </w:rPr>
        <w:t>Kualitas Materi</w:t>
      </w:r>
    </w:p>
    <w:p w14:paraId="49482758"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t>Materi yang disampaikan dapat diterima dengan baik oleh masyarakat. Penggunaan bahasa yang sederhana dan contoh nyata dalam kehidupan sehari-hari sangat membantu pemahaman peserta.</w:t>
      </w:r>
    </w:p>
    <w:p w14:paraId="701A2538" w14:textId="77777777" w:rsidR="00920101" w:rsidRPr="005F14BD" w:rsidRDefault="00426C08" w:rsidP="005F14BD">
      <w:pPr>
        <w:pStyle w:val="ListParagraph"/>
        <w:numPr>
          <w:ilvl w:val="1"/>
          <w:numId w:val="1"/>
        </w:numPr>
        <w:spacing w:line="276" w:lineRule="auto"/>
        <w:ind w:left="360"/>
        <w:rPr>
          <w:rFonts w:asciiTheme="minorBidi" w:eastAsia="Arial" w:hAnsiTheme="minorBidi" w:cstheme="minorBidi"/>
          <w:sz w:val="24"/>
          <w:szCs w:val="24"/>
        </w:rPr>
      </w:pPr>
      <w:r w:rsidRPr="005F14BD">
        <w:rPr>
          <w:rFonts w:asciiTheme="minorBidi" w:eastAsia="Arial" w:hAnsiTheme="minorBidi" w:cstheme="minorBidi"/>
          <w:sz w:val="24"/>
          <w:szCs w:val="24"/>
        </w:rPr>
        <w:t>Interaksi dan Respon Masyarakat</w:t>
      </w:r>
    </w:p>
    <w:p w14:paraId="3612D5C6"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t>Selama kegiatan berlangsung, masyarakat aktif bertanya dan memberikan tanggapan positif terhadap pelatihan. Beberapa peserta juga menyampaikan bahwa mereka merasa lebih siap untuk menghadapi potensi risiko cyber crime setelah mengikuti kegiatan ini.</w:t>
      </w:r>
    </w:p>
    <w:p w14:paraId="0B9FCD4C" w14:textId="77777777" w:rsidR="00920101" w:rsidRPr="005F14BD" w:rsidRDefault="00920101" w:rsidP="005F14BD">
      <w:pPr>
        <w:tabs>
          <w:tab w:val="left" w:pos="284"/>
        </w:tabs>
        <w:spacing w:line="276" w:lineRule="auto"/>
        <w:rPr>
          <w:rFonts w:asciiTheme="minorBidi" w:eastAsia="Arial" w:hAnsiTheme="minorBidi" w:cstheme="minorBidi"/>
          <w:sz w:val="24"/>
          <w:szCs w:val="24"/>
        </w:rPr>
      </w:pPr>
    </w:p>
    <w:p w14:paraId="0C939136" w14:textId="77777777" w:rsidR="00920101"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Secara umum,  dari pelaksanaan PkM ini masyarakat mampu mengembangkan dan meningkatkan kualitas sumber daya manusia (SDM) Desa Pacarejo, Kecamatan Semanu, Kabupaten Gunung Kidul:</w:t>
      </w:r>
    </w:p>
    <w:p w14:paraId="14368BBA" w14:textId="77777777" w:rsidR="00C94D11" w:rsidRPr="005F14BD" w:rsidRDefault="00426C08" w:rsidP="005F14BD">
      <w:pPr>
        <w:pStyle w:val="ListParagraph"/>
        <w:numPr>
          <w:ilvl w:val="0"/>
          <w:numId w:val="5"/>
        </w:numPr>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 xml:space="preserve">Pengetahuan tentang tindakan pencegahan </w:t>
      </w:r>
    </w:p>
    <w:p w14:paraId="0B9B2083"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t>Sosialisasi dapat memberikan pengetahuan tentang tindakan-tindakan pencegahan yang dapat diambil individu untuk melindungi diri mereka sendiri dan informasi pribadi mereka dari serangan cyber. Hal ini termasuk praktik-praktik keamanan seperti menggunakan kata sandi yang kuat, memperbarui perangkat lunak secara teratur, dan menghindari interaksi dengan tautan atau lampiran yang mencurigakan.</w:t>
      </w:r>
    </w:p>
    <w:p w14:paraId="593AEF12" w14:textId="77777777" w:rsidR="00C94D11" w:rsidRPr="005F14BD" w:rsidRDefault="00426C08" w:rsidP="005F14BD">
      <w:pPr>
        <w:pStyle w:val="ListParagraph"/>
        <w:numPr>
          <w:ilvl w:val="0"/>
          <w:numId w:val="5"/>
        </w:numPr>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 xml:space="preserve">Peningkatan keamanan dan perlindungan data </w:t>
      </w:r>
    </w:p>
    <w:p w14:paraId="44F26932"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t xml:space="preserve">Dengan meningkatnya kesadaran tentang risiko cyber crime, individu dan organisasi mungkin lebih cenderung untuk mengambil langkah-langkah proaktif untuk meningkatkan keamanan dan perlindungan data mereka. Ini dapat melibatkan investasi dalam perangkat lunak keamanan tambahan, mengadopsi praktik-praktik keamanan yang lebih baik, dan meningkatkan kesadaran tentang kebijakan keamanan yang relevan. </w:t>
      </w:r>
    </w:p>
    <w:p w14:paraId="22BA6CF8" w14:textId="77777777" w:rsidR="00C94D11" w:rsidRPr="005F14BD" w:rsidRDefault="00426C08" w:rsidP="005F14BD">
      <w:pPr>
        <w:pStyle w:val="ListParagraph"/>
        <w:numPr>
          <w:ilvl w:val="0"/>
          <w:numId w:val="5"/>
        </w:numPr>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 xml:space="preserve">Penurunan tingkat kriminalitas </w:t>
      </w:r>
    </w:p>
    <w:p w14:paraId="64F33CB5" w14:textId="77777777" w:rsidR="00920101" w:rsidRPr="005F14BD" w:rsidRDefault="00426C08" w:rsidP="005F14BD">
      <w:pPr>
        <w:pStyle w:val="ListParagraph"/>
        <w:spacing w:line="276" w:lineRule="auto"/>
        <w:ind w:left="360" w:firstLine="360"/>
        <w:rPr>
          <w:rFonts w:asciiTheme="minorBidi" w:eastAsia="Arial" w:hAnsiTheme="minorBidi" w:cstheme="minorBidi"/>
          <w:sz w:val="24"/>
          <w:szCs w:val="24"/>
        </w:rPr>
      </w:pPr>
      <w:r w:rsidRPr="005F14BD">
        <w:rPr>
          <w:rFonts w:asciiTheme="minorBidi" w:eastAsia="Arial" w:hAnsiTheme="minorBidi" w:cstheme="minorBidi"/>
          <w:sz w:val="24"/>
          <w:szCs w:val="24"/>
        </w:rPr>
        <w:lastRenderedPageBreak/>
        <w:t>Melalui sosialisasi yang efektif, masyarakat dapat menjadi lebih terampil dalam mengidentifikasi dan melaporkan tindakan kriminalitas online, yang dapat mengarah pada penurunan tingkat kejahatan cyber secara keseluruhan. Dengan meningkatnya kesadaran, individu mungkin lebih berhati-hati dalam interaksi online mereka, membuatnya lebih sulit bagi pelaku kejahatan untuk mencapai tujuan mereka.</w:t>
      </w:r>
    </w:p>
    <w:p w14:paraId="626CEB0E" w14:textId="77777777" w:rsidR="00D70405" w:rsidRPr="005F14BD" w:rsidRDefault="00426C08" w:rsidP="005F14BD">
      <w:pPr>
        <w:tabs>
          <w:tab w:val="left" w:pos="284"/>
        </w:tabs>
        <w:spacing w:line="276" w:lineRule="auto"/>
        <w:rPr>
          <w:rFonts w:asciiTheme="minorBidi" w:eastAsia="Arial" w:hAnsiTheme="minorBidi" w:cstheme="minorBidi"/>
          <w:sz w:val="24"/>
          <w:szCs w:val="24"/>
        </w:rPr>
      </w:pPr>
      <w:r w:rsidRPr="005F14BD">
        <w:rPr>
          <w:rFonts w:asciiTheme="minorBidi" w:eastAsia="Arial" w:hAnsiTheme="minorBidi" w:cstheme="minorBidi"/>
          <w:sz w:val="24"/>
          <w:szCs w:val="24"/>
        </w:rPr>
        <w:t xml:space="preserve">  </w:t>
      </w:r>
    </w:p>
    <w:p w14:paraId="0782693B" w14:textId="77777777" w:rsidR="00D70405" w:rsidRPr="007F74AF" w:rsidRDefault="00426C08" w:rsidP="007F74AF">
      <w:pPr>
        <w:numPr>
          <w:ilvl w:val="0"/>
          <w:numId w:val="2"/>
        </w:numPr>
        <w:pBdr>
          <w:top w:val="nil"/>
          <w:left w:val="nil"/>
          <w:bottom w:val="nil"/>
          <w:right w:val="nil"/>
          <w:between w:val="nil"/>
        </w:pBdr>
        <w:spacing w:line="276" w:lineRule="auto"/>
        <w:jc w:val="left"/>
        <w:rPr>
          <w:rFonts w:asciiTheme="minorBidi" w:hAnsiTheme="minorBidi" w:cstheme="minorBidi"/>
          <w:sz w:val="24"/>
          <w:szCs w:val="24"/>
        </w:rPr>
      </w:pPr>
      <w:r w:rsidRPr="005F14BD">
        <w:rPr>
          <w:rFonts w:asciiTheme="minorBidi" w:eastAsia="Arial" w:hAnsiTheme="minorBidi" w:cstheme="minorBidi"/>
          <w:b/>
          <w:color w:val="000000"/>
          <w:sz w:val="24"/>
          <w:szCs w:val="24"/>
        </w:rPr>
        <w:t>KESIMPULA</w:t>
      </w:r>
      <w:r w:rsidR="007F74AF">
        <w:rPr>
          <w:rFonts w:asciiTheme="minorBidi" w:eastAsia="Arial" w:hAnsiTheme="minorBidi" w:cstheme="minorBidi"/>
          <w:b/>
          <w:color w:val="000000"/>
          <w:sz w:val="24"/>
          <w:szCs w:val="24"/>
          <w:lang w:val="en-US"/>
        </w:rPr>
        <w:t>N</w:t>
      </w:r>
    </w:p>
    <w:p w14:paraId="310BBA8D" w14:textId="77777777" w:rsidR="00D70405" w:rsidRPr="007F74AF" w:rsidRDefault="00426C08" w:rsidP="005F14BD">
      <w:pPr>
        <w:tabs>
          <w:tab w:val="left" w:pos="567"/>
        </w:tabs>
        <w:spacing w:line="276" w:lineRule="auto"/>
        <w:rPr>
          <w:rFonts w:asciiTheme="minorBidi" w:eastAsia="Arial" w:hAnsiTheme="minorBidi" w:cstheme="minorBidi"/>
          <w:sz w:val="28"/>
          <w:szCs w:val="28"/>
        </w:rPr>
      </w:pPr>
      <w:r w:rsidRPr="007F74AF">
        <w:rPr>
          <w:rFonts w:asciiTheme="minorBidi" w:hAnsiTheme="minorBidi" w:cstheme="minorBidi"/>
          <w:sz w:val="24"/>
          <w:szCs w:val="24"/>
        </w:rPr>
        <w:t>Program pengabdian masyarakat dalam bentuk penguatan literasi digital di Desa Pacarejo, Kecamatan Semanu, Gunungkidul, menunjukkan bahwa pendekatan partisipatif berbasis komunitas mampu meningkatkan kesadaran dan pengetahuan masyarakat, khususnya kalangan remaja, dalam menghadapi ancaman kejahatan digital. Kegiatan ini berhasil menjawab kebutuhan aktual masyarakat akan pemahaman tentang keamanan siber, etika digital, serta bahaya penyalahgunaan teknologi, seperti penipuan daring dan judi online. Hasil evaluasi menunjukkan adanya peningkatan signifikan pada pemahaman peserta terhadap isu-isu digital, yang tercermin dari hasil post-test, keterlibatan aktif dalam workshop, serta inisiatif peserta dalam menyebarluaskan informasi melalui media visual kampanye. Oleh karena itu, penguatan literasi digital tidak hanya penting sebagai upaya preventif terhadap cyber crime, tetapi juga strategis dalam membangun ketahanan siber lokal yang inklusif dan berkelanjutan.</w:t>
      </w:r>
    </w:p>
    <w:p w14:paraId="2A007CF4" w14:textId="77777777" w:rsidR="00D70405" w:rsidRPr="005F14BD" w:rsidRDefault="00D70405" w:rsidP="005F14BD">
      <w:pPr>
        <w:spacing w:line="276" w:lineRule="auto"/>
        <w:rPr>
          <w:rFonts w:asciiTheme="minorBidi" w:eastAsia="Arial" w:hAnsiTheme="minorBidi" w:cstheme="minorBidi"/>
          <w:sz w:val="24"/>
          <w:szCs w:val="24"/>
        </w:rPr>
      </w:pPr>
    </w:p>
    <w:p w14:paraId="6FC66C49" w14:textId="77777777" w:rsidR="00D70405" w:rsidRPr="005F14BD" w:rsidRDefault="00426C08" w:rsidP="005F14BD">
      <w:pPr>
        <w:spacing w:line="276" w:lineRule="auto"/>
        <w:rPr>
          <w:rFonts w:asciiTheme="minorBidi" w:hAnsiTheme="minorBidi" w:cstheme="minorBidi"/>
          <w:b/>
          <w:sz w:val="24"/>
          <w:szCs w:val="24"/>
        </w:rPr>
      </w:pPr>
      <w:r w:rsidRPr="005F14BD">
        <w:rPr>
          <w:rFonts w:asciiTheme="minorBidi" w:hAnsiTheme="minorBidi" w:cstheme="minorBidi"/>
          <w:b/>
          <w:sz w:val="24"/>
          <w:szCs w:val="24"/>
        </w:rPr>
        <w:t>DAFTAR PUSTAKA</w:t>
      </w:r>
    </w:p>
    <w:p w14:paraId="2A352FF2"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b/>
          <w:sz w:val="24"/>
          <w:szCs w:val="24"/>
        </w:rPr>
        <w:fldChar w:fldCharType="begin"/>
      </w:r>
      <w:r w:rsidR="001B3504" w:rsidRPr="005F14BD">
        <w:rPr>
          <w:rFonts w:asciiTheme="minorBidi" w:hAnsiTheme="minorBidi" w:cstheme="minorBidi"/>
          <w:b/>
          <w:sz w:val="24"/>
          <w:szCs w:val="24"/>
        </w:rPr>
        <w:instrText xml:space="preserve"> ADDIN ZOTERO_BIBL {"uncited":[],"omitted":[],"custom":[]} CSL_BIBLIOGRAPHY </w:instrText>
      </w:r>
      <w:r w:rsidRPr="005F14BD">
        <w:rPr>
          <w:rFonts w:asciiTheme="minorBidi" w:hAnsiTheme="minorBidi" w:cstheme="minorBidi"/>
          <w:b/>
          <w:sz w:val="24"/>
          <w:szCs w:val="24"/>
        </w:rPr>
        <w:fldChar w:fldCharType="separate"/>
      </w:r>
      <w:r w:rsidRPr="005F14BD">
        <w:rPr>
          <w:rFonts w:asciiTheme="minorBidi" w:hAnsiTheme="minorBidi" w:cstheme="minorBidi"/>
          <w:sz w:val="24"/>
          <w:szCs w:val="24"/>
        </w:rPr>
        <w:t>[1]</w:t>
      </w:r>
      <w:r w:rsidRPr="005F14BD">
        <w:rPr>
          <w:rFonts w:asciiTheme="minorBidi" w:hAnsiTheme="minorBidi" w:cstheme="minorBidi"/>
          <w:sz w:val="24"/>
          <w:szCs w:val="24"/>
        </w:rPr>
        <w:tab/>
        <w:t xml:space="preserve">F. Faldi, B. Setiaji, R. Anshari, R. K. Syamat, H. Hamzah, and W. Rahmah, ‘Pengetahuan Masyarakat di Kota Samarinda tentang Teknologi Informasi’, </w:t>
      </w:r>
      <w:r w:rsidRPr="005F14BD">
        <w:rPr>
          <w:rFonts w:asciiTheme="minorBidi" w:hAnsiTheme="minorBidi" w:cstheme="minorBidi"/>
          <w:i/>
          <w:iCs/>
          <w:sz w:val="24"/>
          <w:szCs w:val="24"/>
        </w:rPr>
        <w:t>PengabdianMu J. Ilm. Pengabdi. Kpd. Masy.</w:t>
      </w:r>
      <w:r w:rsidRPr="005F14BD">
        <w:rPr>
          <w:rFonts w:asciiTheme="minorBidi" w:hAnsiTheme="minorBidi" w:cstheme="minorBidi"/>
          <w:sz w:val="24"/>
          <w:szCs w:val="24"/>
        </w:rPr>
        <w:t>, vol. 7, no. 1, pp. 112–117, Jan. 2022, doi: 10.33084/pengabdianmu.v7i1.2814.</w:t>
      </w:r>
    </w:p>
    <w:p w14:paraId="557D2177"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[2]</w:t>
      </w:r>
      <w:r w:rsidRPr="005F14BD">
        <w:rPr>
          <w:rFonts w:asciiTheme="minorBidi" w:hAnsiTheme="minorBidi" w:cstheme="minorBidi"/>
          <w:sz w:val="24"/>
          <w:szCs w:val="24"/>
        </w:rPr>
        <w:tab/>
        <w:t xml:space="preserve">R. Joshi, N. Pavithra, and C. K. Singh, ‘Internet an Integral Part of Human Life in 21st Century: A Review’, </w:t>
      </w:r>
      <w:r w:rsidRPr="005F14BD">
        <w:rPr>
          <w:rFonts w:asciiTheme="minorBidi" w:hAnsiTheme="minorBidi" w:cstheme="minorBidi"/>
          <w:i/>
          <w:iCs/>
          <w:sz w:val="24"/>
          <w:szCs w:val="24"/>
        </w:rPr>
        <w:t>Curr. J. Appl. Sci. Technol.</w:t>
      </w:r>
      <w:r w:rsidRPr="005F14BD">
        <w:rPr>
          <w:rFonts w:asciiTheme="minorBidi" w:hAnsiTheme="minorBidi" w:cstheme="minorBidi"/>
          <w:sz w:val="24"/>
          <w:szCs w:val="24"/>
        </w:rPr>
        <w:t>, pp. 12–18, Oct. 2022, doi: 10.9734/cjast/2022/v41i363963.</w:t>
      </w:r>
    </w:p>
    <w:p w14:paraId="3C79C82B"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[3]</w:t>
      </w:r>
      <w:r w:rsidRPr="005F14BD">
        <w:rPr>
          <w:rFonts w:asciiTheme="minorBidi" w:hAnsiTheme="minorBidi" w:cstheme="minorBidi"/>
          <w:sz w:val="24"/>
          <w:szCs w:val="24"/>
        </w:rPr>
        <w:tab/>
        <w:t xml:space="preserve">A. Aulia, ‘Adoption of the Law on Information and Electronic Transactions against Cyber Crime’, </w:t>
      </w:r>
      <w:r w:rsidRPr="005F14BD">
        <w:rPr>
          <w:rFonts w:asciiTheme="minorBidi" w:hAnsiTheme="minorBidi" w:cstheme="minorBidi"/>
          <w:i/>
          <w:iCs/>
          <w:sz w:val="24"/>
          <w:szCs w:val="24"/>
        </w:rPr>
        <w:t>Sch. Int. J. Law Crime Justice</w:t>
      </w:r>
      <w:r w:rsidRPr="005F14BD">
        <w:rPr>
          <w:rFonts w:asciiTheme="minorBidi" w:hAnsiTheme="minorBidi" w:cstheme="minorBidi"/>
          <w:sz w:val="24"/>
          <w:szCs w:val="24"/>
        </w:rPr>
        <w:t>, vol. 6, no. 03, pp. 141–146, Mar. 2023, doi: 10.36348/sijlcj.2023.v06i03.001.</w:t>
      </w:r>
    </w:p>
    <w:p w14:paraId="2700EFB7"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[4]</w:t>
      </w:r>
      <w:r w:rsidRPr="005F14BD">
        <w:rPr>
          <w:rFonts w:asciiTheme="minorBidi" w:hAnsiTheme="minorBidi" w:cstheme="minorBidi"/>
          <w:sz w:val="24"/>
          <w:szCs w:val="24"/>
        </w:rPr>
        <w:tab/>
        <w:t xml:space="preserve">G. Chen, A. Huang, B. Hu, and G. Chen, ‘Analysis of Internet Black Market in New Types of Cyber-related Crime – Taking Personal Information Transaction as an Example’, </w:t>
      </w:r>
      <w:r w:rsidRPr="005F14BD">
        <w:rPr>
          <w:rFonts w:asciiTheme="minorBidi" w:hAnsiTheme="minorBidi" w:cstheme="minorBidi"/>
          <w:i/>
          <w:iCs/>
          <w:sz w:val="24"/>
          <w:szCs w:val="24"/>
        </w:rPr>
        <w:t>SHS Web Conf.</w:t>
      </w:r>
      <w:r w:rsidRPr="005F14BD">
        <w:rPr>
          <w:rFonts w:asciiTheme="minorBidi" w:hAnsiTheme="minorBidi" w:cstheme="minorBidi"/>
          <w:sz w:val="24"/>
          <w:szCs w:val="24"/>
        </w:rPr>
        <w:t>, vol. 163, p. 04039, 2023, doi: 10.1051/shsconf/202316304039.</w:t>
      </w:r>
    </w:p>
    <w:p w14:paraId="69F90E01"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[5]</w:t>
      </w:r>
      <w:r w:rsidRPr="005F14BD">
        <w:rPr>
          <w:rFonts w:asciiTheme="minorBidi" w:hAnsiTheme="minorBidi" w:cstheme="minorBidi"/>
          <w:sz w:val="24"/>
          <w:szCs w:val="24"/>
        </w:rPr>
        <w:tab/>
        <w:t xml:space="preserve">S. A. Fadhillah, M. S. A. Matakupan, and B. W. B. Mingga, ‘Peran Interpol dalam Penyelesaian Kasus Kejahatan Siber Berdasarkan Konvensi Budapest On Cybercrimes’, </w:t>
      </w:r>
      <w:r w:rsidRPr="005F14BD">
        <w:rPr>
          <w:rFonts w:asciiTheme="minorBidi" w:hAnsiTheme="minorBidi" w:cstheme="minorBidi"/>
          <w:i/>
          <w:iCs/>
          <w:sz w:val="24"/>
          <w:szCs w:val="24"/>
        </w:rPr>
        <w:t>J. Educ.</w:t>
      </w:r>
      <w:r w:rsidRPr="005F14BD">
        <w:rPr>
          <w:rFonts w:asciiTheme="minorBidi" w:hAnsiTheme="minorBidi" w:cstheme="minorBidi"/>
          <w:sz w:val="24"/>
          <w:szCs w:val="24"/>
        </w:rPr>
        <w:t>, vol. 5, no. 4, pp. 16553–16564, May 2023, doi: 10.31004/joe.v5i4.2822.</w:t>
      </w:r>
    </w:p>
    <w:p w14:paraId="129B23FE"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lastRenderedPageBreak/>
        <w:t>[6]</w:t>
      </w:r>
      <w:r w:rsidRPr="005F14BD">
        <w:rPr>
          <w:rFonts w:asciiTheme="minorBidi" w:hAnsiTheme="minorBidi" w:cstheme="minorBidi"/>
          <w:sz w:val="24"/>
          <w:szCs w:val="24"/>
        </w:rPr>
        <w:tab/>
        <w:t xml:space="preserve">I. Beyens, L. Keijsers, and S. M. Coyne, ‘Social media, parenting, and well-being’, </w:t>
      </w:r>
      <w:r w:rsidRPr="005F14BD">
        <w:rPr>
          <w:rFonts w:asciiTheme="minorBidi" w:hAnsiTheme="minorBidi" w:cstheme="minorBidi"/>
          <w:i/>
          <w:iCs/>
          <w:sz w:val="24"/>
          <w:szCs w:val="24"/>
        </w:rPr>
        <w:t>Curr. Opin. Psychol.</w:t>
      </w:r>
      <w:r w:rsidRPr="005F14BD">
        <w:rPr>
          <w:rFonts w:asciiTheme="minorBidi" w:hAnsiTheme="minorBidi" w:cstheme="minorBidi"/>
          <w:sz w:val="24"/>
          <w:szCs w:val="24"/>
        </w:rPr>
        <w:t>, vol. 47, p. 101350, Oct. 2022, doi: 10.1016/j.copsyc.2022.101350.</w:t>
      </w:r>
    </w:p>
    <w:p w14:paraId="64C082C4"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[7]</w:t>
      </w:r>
      <w:r w:rsidRPr="005F14BD">
        <w:rPr>
          <w:rFonts w:asciiTheme="minorBidi" w:hAnsiTheme="minorBidi" w:cstheme="minorBidi"/>
          <w:sz w:val="24"/>
          <w:szCs w:val="24"/>
        </w:rPr>
        <w:tab/>
        <w:t xml:space="preserve">M. Ferrari and A. Schick, ‘Teenagers, screens and social media: a commentary on Orben’s narrative review’, </w:t>
      </w:r>
      <w:r w:rsidRPr="005F14BD">
        <w:rPr>
          <w:rFonts w:asciiTheme="minorBidi" w:hAnsiTheme="minorBidi" w:cstheme="minorBidi"/>
          <w:i/>
          <w:iCs/>
          <w:sz w:val="24"/>
          <w:szCs w:val="24"/>
        </w:rPr>
        <w:t>Soc. Psychiatry Psychiatr. Epidemiol.</w:t>
      </w:r>
      <w:r w:rsidRPr="005F14BD">
        <w:rPr>
          <w:rFonts w:asciiTheme="minorBidi" w:hAnsiTheme="minorBidi" w:cstheme="minorBidi"/>
          <w:sz w:val="24"/>
          <w:szCs w:val="24"/>
        </w:rPr>
        <w:t>, vol. 55, no. 8, pp. 973–975, Aug. 2020, doi: 10.1007/s00127-020-01858-0.</w:t>
      </w:r>
    </w:p>
    <w:p w14:paraId="48657B95"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[8]</w:t>
      </w:r>
      <w:r w:rsidRPr="005F14BD">
        <w:rPr>
          <w:rFonts w:asciiTheme="minorBidi" w:hAnsiTheme="minorBidi" w:cstheme="minorBidi"/>
          <w:sz w:val="24"/>
          <w:szCs w:val="24"/>
        </w:rPr>
        <w:tab/>
        <w:t xml:space="preserve">S. I. Sya’bana, Y. Berry, and R. Rusham, ‘PENERAPAN WEBSITE DESA SEBAGAI MEDIA INFORMASI PENGENALAN POTENSI DESA SUMBEREJA’, </w:t>
      </w:r>
      <w:r w:rsidRPr="005F14BD">
        <w:rPr>
          <w:rFonts w:asciiTheme="minorBidi" w:hAnsiTheme="minorBidi" w:cstheme="minorBidi"/>
          <w:i/>
          <w:iCs/>
          <w:sz w:val="24"/>
          <w:szCs w:val="24"/>
        </w:rPr>
        <w:t>-Nizam</w:t>
      </w:r>
      <w:r w:rsidRPr="005F14BD">
        <w:rPr>
          <w:rFonts w:asciiTheme="minorBidi" w:hAnsiTheme="minorBidi" w:cstheme="minorBidi"/>
          <w:sz w:val="24"/>
          <w:szCs w:val="24"/>
        </w:rPr>
        <w:t>, vol. 2, no. 1, pp. 127–134, Mar. 2023, doi: 10.33558/an-nizam.v2i1.6571.</w:t>
      </w:r>
    </w:p>
    <w:p w14:paraId="7842EFEC"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[9]</w:t>
      </w:r>
      <w:r w:rsidRPr="005F14BD">
        <w:rPr>
          <w:rFonts w:asciiTheme="minorBidi" w:hAnsiTheme="minorBidi" w:cstheme="minorBidi"/>
          <w:sz w:val="24"/>
          <w:szCs w:val="24"/>
        </w:rPr>
        <w:tab/>
        <w:t xml:space="preserve">I. Bernik, K. Prislan, and A. Mihelič, ‘Country Life in the Digital Era: Comparison of Technology Use and Cybercrime Victimization between Residents of Rural and Urban Environments in Slovenia’, </w:t>
      </w:r>
      <w:r w:rsidRPr="005F14BD">
        <w:rPr>
          <w:rFonts w:asciiTheme="minorBidi" w:hAnsiTheme="minorBidi" w:cstheme="minorBidi"/>
          <w:i/>
          <w:iCs/>
          <w:sz w:val="24"/>
          <w:szCs w:val="24"/>
        </w:rPr>
        <w:t>Sustainability</w:t>
      </w:r>
      <w:r w:rsidRPr="005F14BD">
        <w:rPr>
          <w:rFonts w:asciiTheme="minorBidi" w:hAnsiTheme="minorBidi" w:cstheme="minorBidi"/>
          <w:sz w:val="24"/>
          <w:szCs w:val="24"/>
        </w:rPr>
        <w:t>, vol. 14, no. 21, p. 14487, Nov. 2022, doi: 10.3390/su142114487.</w:t>
      </w:r>
    </w:p>
    <w:p w14:paraId="3AFB270C"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[10]</w:t>
      </w:r>
      <w:r w:rsidRPr="005F14BD">
        <w:rPr>
          <w:rFonts w:asciiTheme="minorBidi" w:hAnsiTheme="minorBidi" w:cstheme="minorBidi"/>
          <w:sz w:val="24"/>
          <w:szCs w:val="24"/>
        </w:rPr>
        <w:tab/>
        <w:t xml:space="preserve">A. Wibowo and B. Basri, ‘Literasi dan Harmonisasi Sosial: Desain Literasi Digital Berbasis Kearifan Lokal pada Masyarakat Pedesaan’, </w:t>
      </w:r>
      <w:r w:rsidRPr="005F14BD">
        <w:rPr>
          <w:rFonts w:asciiTheme="minorBidi" w:hAnsiTheme="minorBidi" w:cstheme="minorBidi"/>
          <w:i/>
          <w:iCs/>
          <w:sz w:val="24"/>
          <w:szCs w:val="24"/>
        </w:rPr>
        <w:t>NALAR J. Perad. Dan Pemikir. Islam</w:t>
      </w:r>
      <w:r w:rsidRPr="005F14BD">
        <w:rPr>
          <w:rFonts w:asciiTheme="minorBidi" w:hAnsiTheme="minorBidi" w:cstheme="minorBidi"/>
          <w:sz w:val="24"/>
          <w:szCs w:val="24"/>
        </w:rPr>
        <w:t>, vol. 4, no. 2, pp. 106–121, Dec. 2020, doi: 10.23971/njppi.v4i2.2490.</w:t>
      </w:r>
    </w:p>
    <w:p w14:paraId="5015CA01"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[11]</w:t>
      </w:r>
      <w:r w:rsidRPr="005F14BD">
        <w:rPr>
          <w:rFonts w:asciiTheme="minorBidi" w:hAnsiTheme="minorBidi" w:cstheme="minorBidi"/>
          <w:sz w:val="24"/>
          <w:szCs w:val="24"/>
        </w:rPr>
        <w:tab/>
        <w:t xml:space="preserve">D. Buil-Gil and Y. Zeng, ‘Meeting you was a fake: investigating the increase in romance fraud during COVID-19’, </w:t>
      </w:r>
      <w:r w:rsidRPr="005F14BD">
        <w:rPr>
          <w:rFonts w:asciiTheme="minorBidi" w:hAnsiTheme="minorBidi" w:cstheme="minorBidi"/>
          <w:i/>
          <w:iCs/>
          <w:sz w:val="24"/>
          <w:szCs w:val="24"/>
        </w:rPr>
        <w:t>J. Financ. Crime</w:t>
      </w:r>
      <w:r w:rsidRPr="005F14BD">
        <w:rPr>
          <w:rFonts w:asciiTheme="minorBidi" w:hAnsiTheme="minorBidi" w:cstheme="minorBidi"/>
          <w:sz w:val="24"/>
          <w:szCs w:val="24"/>
        </w:rPr>
        <w:t>, vol. 29, no. 2, pp. 460–475, Mar. 2022, doi: 10.1108/JFC-02-2021-0042.</w:t>
      </w:r>
    </w:p>
    <w:p w14:paraId="6EF36F9D"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[12]</w:t>
      </w:r>
      <w:r w:rsidRPr="005F14BD">
        <w:rPr>
          <w:rFonts w:asciiTheme="minorBidi" w:hAnsiTheme="minorBidi" w:cstheme="minorBidi"/>
          <w:sz w:val="24"/>
          <w:szCs w:val="24"/>
        </w:rPr>
        <w:tab/>
        <w:t xml:space="preserve">S. Carcelén-García, M. Díaz-Bustamante Ventisca, and M. Galmes-Cerezo, ‘Young People’s Perception of the Danger of Risky Online Activities: Behaviours, Emotions and Attitudes Associated with Their Digital Vulnerability’, </w:t>
      </w:r>
      <w:r w:rsidRPr="005F14BD">
        <w:rPr>
          <w:rFonts w:asciiTheme="minorBidi" w:hAnsiTheme="minorBidi" w:cstheme="minorBidi"/>
          <w:i/>
          <w:iCs/>
          <w:sz w:val="24"/>
          <w:szCs w:val="24"/>
        </w:rPr>
        <w:t>Soc. Sci.</w:t>
      </w:r>
      <w:r w:rsidRPr="005F14BD">
        <w:rPr>
          <w:rFonts w:asciiTheme="minorBidi" w:hAnsiTheme="minorBidi" w:cstheme="minorBidi"/>
          <w:sz w:val="24"/>
          <w:szCs w:val="24"/>
        </w:rPr>
        <w:t>, vol. 12, no. 3, p. 164, Mar. 2023, doi: 10.3390/socsci12030164.</w:t>
      </w:r>
    </w:p>
    <w:p w14:paraId="0C0DBF6B"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[13]</w:t>
      </w:r>
      <w:r w:rsidRPr="005F14BD">
        <w:rPr>
          <w:rFonts w:asciiTheme="minorBidi" w:hAnsiTheme="minorBidi" w:cstheme="minorBidi"/>
          <w:sz w:val="24"/>
          <w:szCs w:val="24"/>
        </w:rPr>
        <w:tab/>
        <w:t xml:space="preserve">F. K. Agrippina and E. N. Nugrahawati, ‘Pengaruh Peran Teman Sebaya terhadap Gambling Intention pada Mahasiswa Pemain Judi Slot Online di Kota Bandung.’, </w:t>
      </w:r>
      <w:r w:rsidRPr="005F14BD">
        <w:rPr>
          <w:rFonts w:asciiTheme="minorBidi" w:hAnsiTheme="minorBidi" w:cstheme="minorBidi"/>
          <w:i/>
          <w:iCs/>
          <w:sz w:val="24"/>
          <w:szCs w:val="24"/>
        </w:rPr>
        <w:t>Bdg. Conf. Ser. Psychol. Sci.</w:t>
      </w:r>
      <w:r w:rsidRPr="005F14BD">
        <w:rPr>
          <w:rFonts w:asciiTheme="minorBidi" w:hAnsiTheme="minorBidi" w:cstheme="minorBidi"/>
          <w:sz w:val="24"/>
          <w:szCs w:val="24"/>
        </w:rPr>
        <w:t>, vol. 3, no. 1, Jan. 2023, doi: 10.29313/bcsps.v3i1.5305.</w:t>
      </w:r>
    </w:p>
    <w:p w14:paraId="06751636"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[14]</w:t>
      </w:r>
      <w:r w:rsidRPr="005F14BD">
        <w:rPr>
          <w:rFonts w:asciiTheme="minorBidi" w:hAnsiTheme="minorBidi" w:cstheme="minorBidi"/>
          <w:sz w:val="24"/>
          <w:szCs w:val="24"/>
        </w:rPr>
        <w:tab/>
        <w:t xml:space="preserve">M. Arisanty, N. Febrina, G. Wiradharma, and E. Ginting, ‘Social Media User in Receiving and Sharing Hoax Information: Overview from Motivation Level’, </w:t>
      </w:r>
      <w:r w:rsidRPr="005F14BD">
        <w:rPr>
          <w:rFonts w:asciiTheme="minorBidi" w:hAnsiTheme="minorBidi" w:cstheme="minorBidi"/>
          <w:i/>
          <w:iCs/>
          <w:sz w:val="24"/>
          <w:szCs w:val="24"/>
        </w:rPr>
        <w:t>J. Studi Sos. Dan Polit.</w:t>
      </w:r>
      <w:r w:rsidRPr="005F14BD">
        <w:rPr>
          <w:rFonts w:asciiTheme="minorBidi" w:hAnsiTheme="minorBidi" w:cstheme="minorBidi"/>
          <w:sz w:val="24"/>
          <w:szCs w:val="24"/>
        </w:rPr>
        <w:t>, vol. 6, no. 1, pp. 80–100, Jun. 2022, doi: 10.19109/jssp.v6i1.12238.</w:t>
      </w:r>
    </w:p>
    <w:p w14:paraId="54E1BAC8"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[15]</w:t>
      </w:r>
      <w:r w:rsidRPr="005F14BD">
        <w:rPr>
          <w:rFonts w:asciiTheme="minorBidi" w:hAnsiTheme="minorBidi" w:cstheme="minorBidi"/>
          <w:sz w:val="24"/>
          <w:szCs w:val="24"/>
        </w:rPr>
        <w:tab/>
        <w:t xml:space="preserve">I. A. P. A. Sinthiya, ‘CRIMINAL LIABILITY FOR SPREADING HOAX NEWS THROUGH ELECTRONIC MEDIA IN THE PERSPECTIVE OF LAW NUMBER 19 YEAR 2016’, </w:t>
      </w:r>
      <w:r w:rsidRPr="005F14BD">
        <w:rPr>
          <w:rFonts w:asciiTheme="minorBidi" w:hAnsiTheme="minorBidi" w:cstheme="minorBidi"/>
          <w:i/>
          <w:iCs/>
          <w:sz w:val="24"/>
          <w:szCs w:val="24"/>
        </w:rPr>
        <w:t>JLCEdu J. Learn. Character Educ.</w:t>
      </w:r>
      <w:r w:rsidRPr="005F14BD">
        <w:rPr>
          <w:rFonts w:asciiTheme="minorBidi" w:hAnsiTheme="minorBidi" w:cstheme="minorBidi"/>
          <w:sz w:val="24"/>
          <w:szCs w:val="24"/>
        </w:rPr>
        <w:t>, vol. 2, no. 2, pp. 69–74, Nov. 2022, doi: 10.56327/jlcedu.v2i2.45.</w:t>
      </w:r>
    </w:p>
    <w:p w14:paraId="72C76817"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[16]</w:t>
      </w:r>
      <w:r w:rsidRPr="005F14BD">
        <w:rPr>
          <w:rFonts w:asciiTheme="minorBidi" w:hAnsiTheme="minorBidi" w:cstheme="minorBidi"/>
          <w:sz w:val="24"/>
          <w:szCs w:val="24"/>
        </w:rPr>
        <w:tab/>
        <w:t xml:space="preserve">N. Niyu and A. Gerungan, ‘Literasi Digital: Mengenal Cyber Risk dan Aman Dalam Bermedia Digital’, </w:t>
      </w:r>
      <w:r w:rsidRPr="005F14BD">
        <w:rPr>
          <w:rFonts w:asciiTheme="minorBidi" w:hAnsiTheme="minorBidi" w:cstheme="minorBidi"/>
          <w:i/>
          <w:iCs/>
          <w:sz w:val="24"/>
          <w:szCs w:val="24"/>
        </w:rPr>
        <w:t>Pros. Konf. Nas. Pengabdi. Kpd. Masy. Dan Corp. Soc. Responsib. PKM-CSR</w:t>
      </w:r>
      <w:r w:rsidRPr="005F14BD">
        <w:rPr>
          <w:rFonts w:asciiTheme="minorBidi" w:hAnsiTheme="minorBidi" w:cstheme="minorBidi"/>
          <w:sz w:val="24"/>
          <w:szCs w:val="24"/>
        </w:rPr>
        <w:t>, vol. 5, pp. 1–10, Dec. 2022, doi: 10.37695/pkmcsr.v5i0.1621.</w:t>
      </w:r>
    </w:p>
    <w:p w14:paraId="66F12799"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lastRenderedPageBreak/>
        <w:t>[17]</w:t>
      </w:r>
      <w:r w:rsidRPr="005F14BD">
        <w:rPr>
          <w:rFonts w:asciiTheme="minorBidi" w:hAnsiTheme="minorBidi" w:cstheme="minorBidi"/>
          <w:sz w:val="24"/>
          <w:szCs w:val="24"/>
        </w:rPr>
        <w:tab/>
        <w:t xml:space="preserve">I. A. Pop, ‘PREVENTION OF COMPUTER CRIME THROUGH KNOWLEDGE OF THE CONCEPT OF CYBER SECURITY’, </w:t>
      </w:r>
      <w:r w:rsidRPr="005F14BD">
        <w:rPr>
          <w:rFonts w:asciiTheme="minorBidi" w:hAnsiTheme="minorBidi" w:cstheme="minorBidi"/>
          <w:i/>
          <w:iCs/>
          <w:sz w:val="24"/>
          <w:szCs w:val="24"/>
        </w:rPr>
        <w:t>Int. J. Leg. Soc. Order</w:t>
      </w:r>
      <w:r w:rsidRPr="005F14BD">
        <w:rPr>
          <w:rFonts w:asciiTheme="minorBidi" w:hAnsiTheme="minorBidi" w:cstheme="minorBidi"/>
          <w:sz w:val="24"/>
          <w:szCs w:val="24"/>
        </w:rPr>
        <w:t>, vol. 1, no. 1, Dec. 2022, doi: 10.55516/ijlso.v1i1.83.</w:t>
      </w:r>
    </w:p>
    <w:p w14:paraId="4C89127D"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[18]</w:t>
      </w:r>
      <w:r w:rsidRPr="005F14BD">
        <w:rPr>
          <w:rFonts w:asciiTheme="minorBidi" w:hAnsiTheme="minorBidi" w:cstheme="minorBidi"/>
          <w:sz w:val="24"/>
          <w:szCs w:val="24"/>
        </w:rPr>
        <w:tab/>
        <w:t xml:space="preserve">M. Kianpour </w:t>
      </w:r>
      <w:r w:rsidRPr="005F14BD">
        <w:rPr>
          <w:rFonts w:asciiTheme="minorBidi" w:hAnsiTheme="minorBidi" w:cstheme="minorBidi"/>
          <w:i/>
          <w:iCs/>
          <w:sz w:val="24"/>
          <w:szCs w:val="24"/>
        </w:rPr>
        <w:t>et al.</w:t>
      </w:r>
      <w:r w:rsidRPr="005F14BD">
        <w:rPr>
          <w:rFonts w:asciiTheme="minorBidi" w:hAnsiTheme="minorBidi" w:cstheme="minorBidi"/>
          <w:sz w:val="24"/>
          <w:szCs w:val="24"/>
        </w:rPr>
        <w:t xml:space="preserve">, ‘Design, implementation, and evaluation of self-care program in the prevention of breast cancer among women in Isfahan: a community-based participatory action research protocol’, </w:t>
      </w:r>
      <w:r w:rsidRPr="005F14BD">
        <w:rPr>
          <w:rFonts w:asciiTheme="minorBidi" w:hAnsiTheme="minorBidi" w:cstheme="minorBidi"/>
          <w:i/>
          <w:iCs/>
          <w:sz w:val="24"/>
          <w:szCs w:val="24"/>
        </w:rPr>
        <w:t>Womens Midlife Health</w:t>
      </w:r>
      <w:r w:rsidRPr="005F14BD">
        <w:rPr>
          <w:rFonts w:asciiTheme="minorBidi" w:hAnsiTheme="minorBidi" w:cstheme="minorBidi"/>
          <w:sz w:val="24"/>
          <w:szCs w:val="24"/>
        </w:rPr>
        <w:t>, vol. 8, no. 1, p. 7, Dec. 2022, doi: 10.1186/s40695-022-00077-8.</w:t>
      </w:r>
    </w:p>
    <w:p w14:paraId="4197338E" w14:textId="77777777" w:rsidR="00F30D74" w:rsidRPr="005F14BD" w:rsidRDefault="00426C08" w:rsidP="005F14BD">
      <w:pPr>
        <w:pStyle w:val="Bibliography"/>
        <w:spacing w:line="276" w:lineRule="auto"/>
        <w:rPr>
          <w:rFonts w:asciiTheme="minorBidi" w:hAnsiTheme="minorBidi" w:cstheme="minorBidi"/>
          <w:sz w:val="24"/>
          <w:szCs w:val="24"/>
        </w:rPr>
      </w:pPr>
      <w:r w:rsidRPr="005F14BD">
        <w:rPr>
          <w:rFonts w:asciiTheme="minorBidi" w:hAnsiTheme="minorBidi" w:cstheme="minorBidi"/>
          <w:sz w:val="24"/>
          <w:szCs w:val="24"/>
        </w:rPr>
        <w:t>[19]</w:t>
      </w:r>
      <w:r w:rsidRPr="005F14BD">
        <w:rPr>
          <w:rFonts w:asciiTheme="minorBidi" w:hAnsiTheme="minorBidi" w:cstheme="minorBidi"/>
          <w:sz w:val="24"/>
          <w:szCs w:val="24"/>
        </w:rPr>
        <w:tab/>
        <w:t xml:space="preserve">S. F. A. Widodo, A. Dardiri, Marzuki, A. M. Anam, Y. Rubiyanto, and H. Djainudin, ‘Penguatan Karakter Pemuda di Desa Pacarejo, Kecamatan Semanu, Kabupaten Gunung Kidul melalui Pelatihan Baca Al-Qur’an’, </w:t>
      </w:r>
      <w:r w:rsidRPr="005F14BD">
        <w:rPr>
          <w:rFonts w:asciiTheme="minorBidi" w:hAnsiTheme="minorBidi" w:cstheme="minorBidi"/>
          <w:i/>
          <w:iCs/>
          <w:sz w:val="24"/>
          <w:szCs w:val="24"/>
        </w:rPr>
        <w:t>J. Pengabdi. Dan Pemberdaya. Banyuwangi</w:t>
      </w:r>
      <w:r w:rsidRPr="005F14BD">
        <w:rPr>
          <w:rFonts w:asciiTheme="minorBidi" w:hAnsiTheme="minorBidi" w:cstheme="minorBidi"/>
          <w:sz w:val="24"/>
          <w:szCs w:val="24"/>
        </w:rPr>
        <w:t>, vol. 2, no. 1, Art. no. 1, Oct. 2024, doi: 10.57203/abdiwangi.v2i1.2024.23-35.</w:t>
      </w:r>
    </w:p>
    <w:p w14:paraId="60A1A8DF" w14:textId="77777777" w:rsidR="00D70405" w:rsidRPr="005F14BD" w:rsidRDefault="00426C08" w:rsidP="005F14BD">
      <w:pPr>
        <w:spacing w:line="276" w:lineRule="auto"/>
        <w:rPr>
          <w:rFonts w:asciiTheme="minorBidi" w:hAnsiTheme="minorBidi" w:cstheme="minorBidi"/>
          <w:b/>
          <w:sz w:val="24"/>
          <w:szCs w:val="24"/>
        </w:rPr>
      </w:pPr>
      <w:r w:rsidRPr="005F14BD">
        <w:rPr>
          <w:rFonts w:asciiTheme="minorBidi" w:hAnsiTheme="minorBidi" w:cstheme="minorBidi"/>
          <w:b/>
          <w:sz w:val="24"/>
          <w:szCs w:val="24"/>
        </w:rPr>
        <w:fldChar w:fldCharType="end"/>
      </w:r>
    </w:p>
    <w:sectPr w:rsidR="00D70405" w:rsidRPr="005F14BD">
      <w:pgSz w:w="11906" w:h="16838"/>
      <w:pgMar w:top="1701" w:right="1418" w:bottom="1418" w:left="1418" w:header="39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674E" w14:textId="77777777" w:rsidR="00492AFE" w:rsidRDefault="00492AFE">
      <w:r>
        <w:separator/>
      </w:r>
    </w:p>
  </w:endnote>
  <w:endnote w:type="continuationSeparator" w:id="0">
    <w:p w14:paraId="6AF40627" w14:textId="77777777" w:rsidR="00492AFE" w:rsidRDefault="0049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D4B4" w14:textId="77777777" w:rsidR="00D70405" w:rsidRDefault="00426C08">
    <w:pPr>
      <w:pBdr>
        <w:top w:val="nil"/>
        <w:left w:val="nil"/>
        <w:bottom w:val="nil"/>
        <w:right w:val="nil"/>
        <w:between w:val="nil"/>
      </w:pBdr>
      <w:tabs>
        <w:tab w:val="center" w:pos="4513"/>
        <w:tab w:val="right" w:pos="9026"/>
      </w:tabs>
      <w:jc w:val="left"/>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 xml:space="preserve"> | JTRM</w:t>
    </w:r>
    <w:r>
      <w:rPr>
        <w:color w:val="000000"/>
      </w:rPr>
      <w:t xml:space="preserve">  </w:t>
    </w:r>
  </w:p>
  <w:p w14:paraId="4884DF3F" w14:textId="77777777" w:rsidR="00D70405" w:rsidRDefault="00D70405">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5B80" w14:textId="77777777" w:rsidR="00D70405" w:rsidRDefault="00426C08">
    <w:pPr>
      <w:pBdr>
        <w:top w:val="nil"/>
        <w:left w:val="nil"/>
        <w:bottom w:val="nil"/>
        <w:right w:val="nil"/>
        <w:between w:val="nil"/>
      </w:pBdr>
      <w:tabs>
        <w:tab w:val="center" w:pos="4513"/>
        <w:tab w:val="right" w:pos="9026"/>
      </w:tabs>
      <w:spacing w:before="240"/>
      <w:jc w:val="right"/>
      <w:rPr>
        <w:rFonts w:ascii="Arial" w:eastAsia="Arial" w:hAnsi="Arial" w:cs="Arial"/>
        <w:color w:val="000000"/>
      </w:rPr>
    </w:pPr>
    <w:r>
      <w:rPr>
        <w:rFonts w:ascii="Arial" w:eastAsia="Arial" w:hAnsi="Arial" w:cs="Arial"/>
        <w:color w:val="000000"/>
      </w:rPr>
      <w:t xml:space="preserve">Hal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419EB">
      <w:rPr>
        <w:rFonts w:ascii="Arial" w:eastAsia="Arial" w:hAnsi="Arial" w:cs="Arial"/>
        <w:noProof/>
        <w:color w:val="000000"/>
      </w:rPr>
      <w:t>2</w:t>
    </w:r>
    <w:r>
      <w:rPr>
        <w:rFonts w:ascii="Arial" w:eastAsia="Arial" w:hAnsi="Arial" w:cs="Arial"/>
        <w:color w:val="000000"/>
      </w:rPr>
      <w:fldChar w:fldCharType="end"/>
    </w:r>
    <w:r>
      <w:rPr>
        <w:rFonts w:ascii="Arial" w:eastAsia="Arial" w:hAnsi="Arial" w:cs="Arial"/>
        <w:color w:val="000000"/>
      </w:rPr>
      <w:t xml:space="preserve"> </w:t>
    </w:r>
    <w:r>
      <w:rPr>
        <w:noProof/>
      </w:rPr>
      <mc:AlternateContent>
        <mc:Choice Requires="wps">
          <w:drawing>
            <wp:anchor distT="0" distB="0" distL="0" distR="0" simplePos="0" relativeHeight="251655680" behindDoc="1" locked="0" layoutInCell="1" allowOverlap="1" wp14:anchorId="5797A8F7" wp14:editId="7039EABD">
              <wp:simplePos x="0" y="0"/>
              <wp:positionH relativeFrom="column">
                <wp:posOffset>5130800</wp:posOffset>
              </wp:positionH>
              <wp:positionV relativeFrom="paragraph">
                <wp:posOffset>50800</wp:posOffset>
              </wp:positionV>
              <wp:extent cx="660722" cy="375285"/>
              <wp:effectExtent l="0" t="0" r="0" b="0"/>
              <wp:wrapNone/>
              <wp:docPr id="1638893287" name="Rectangle 1638893287"/>
              <wp:cNvGraphicFramePr/>
              <a:graphic xmlns:a="http://schemas.openxmlformats.org/drawingml/2006/main">
                <a:graphicData uri="http://schemas.microsoft.com/office/word/2010/wordprocessingShape">
                  <wps:wsp>
                    <wps:cNvSpPr/>
                    <wps:spPr>
                      <a:xfrm>
                        <a:off x="5020402" y="3597120"/>
                        <a:ext cx="660722" cy="375285"/>
                      </a:xfrm>
                      <a:prstGeom prst="rect">
                        <a:avLst/>
                      </a:prstGeom>
                      <a:solidFill>
                        <a:srgbClr val="FFF2CC"/>
                      </a:solidFill>
                      <a:ln>
                        <a:noFill/>
                      </a:ln>
                    </wps:spPr>
                    <wps:txbx>
                      <w:txbxContent>
                        <w:p w14:paraId="5B26F70C" w14:textId="77777777" w:rsidR="00D70405" w:rsidRDefault="00D70405">
                          <w:pPr>
                            <w:jc w:val="left"/>
                          </w:pPr>
                        </w:p>
                      </w:txbxContent>
                    </wps:txbx>
                    <wps:bodyPr spcFirstLastPara="1" wrap="square" lIns="91425" tIns="91425" rIns="91425" bIns="91425" anchor="ctr" anchorCtr="0"/>
                  </wps:wsp>
                </a:graphicData>
              </a:graphic>
            </wp:anchor>
          </w:drawing>
        </mc:Choice>
        <mc:Fallback>
          <w:pict>
            <v:rect id="Rectangle 1638893287" o:spid="_x0000_s2049" style="width:52.05pt;height:29.55pt;margin-top:4pt;margin-left:404pt;mso-wrap-distance-bottom:0;mso-wrap-distance-left:0;mso-wrap-distance-right:0;mso-wrap-distance-top:0;mso-wrap-style:square;position:absolute;v-text-anchor:middle;visibility:visible;z-index:-251657216" fillcolor="#fff2cc" stroked="f">
              <v:textbox inset="7.2pt,7.2pt,7.2pt,7.2pt">
                <w:txbxContent>
                  <w:p w:rsidR="00D70405" w14:paraId="365E9ADC" w14:textId="77777777">
                    <w:pPr>
                      <w:jc w:val="left"/>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78EF3AC9" wp14:editId="0CAF210A">
              <wp:simplePos x="0" y="0"/>
              <wp:positionH relativeFrom="column">
                <wp:posOffset>-63499</wp:posOffset>
              </wp:positionH>
              <wp:positionV relativeFrom="paragraph">
                <wp:posOffset>25400</wp:posOffset>
              </wp:positionV>
              <wp:extent cx="5020310" cy="580111"/>
              <wp:effectExtent l="0" t="0" r="0" b="0"/>
              <wp:wrapNone/>
              <wp:docPr id="1638893286" name="Rectangle 1638893286"/>
              <wp:cNvGraphicFramePr/>
              <a:graphic xmlns:a="http://schemas.openxmlformats.org/drawingml/2006/main">
                <a:graphicData uri="http://schemas.microsoft.com/office/word/2010/wordprocessingShape">
                  <wps:wsp>
                    <wps:cNvSpPr/>
                    <wps:spPr>
                      <a:xfrm>
                        <a:off x="2840608" y="3494707"/>
                        <a:ext cx="5020310" cy="580111"/>
                      </a:xfrm>
                      <a:prstGeom prst="rect">
                        <a:avLst/>
                      </a:prstGeom>
                      <a:noFill/>
                      <a:ln>
                        <a:noFill/>
                      </a:ln>
                    </wps:spPr>
                    <wps:txbx>
                      <w:txbxContent>
                        <w:p w14:paraId="3D64D786" w14:textId="77777777" w:rsidR="00D70405" w:rsidRDefault="00426C08">
                          <w:r>
                            <w:rPr>
                              <w:rFonts w:ascii="Arial" w:eastAsia="Arial" w:hAnsi="Arial" w:cs="Arial"/>
                              <w:i/>
                              <w:color w:val="000000"/>
                              <w:sz w:val="20"/>
                            </w:rPr>
                            <w:t xml:space="preserve">Copyright to Author </w:t>
                          </w:r>
                        </w:p>
                        <w:p w14:paraId="60AD0985" w14:textId="77777777" w:rsidR="00D70405" w:rsidRDefault="00426C08">
                          <w:r>
                            <w:rPr>
                              <w:rFonts w:ascii="Arial" w:eastAsia="Arial" w:hAnsi="Arial" w:cs="Arial"/>
                              <w:i/>
                              <w:color w:val="000000"/>
                              <w:sz w:val="20"/>
                            </w:rPr>
                            <w:t xml:space="preserve">Licence: </w:t>
                          </w:r>
                          <w:r>
                            <w:rPr>
                              <w:rFonts w:ascii="Arial" w:eastAsia="Arial" w:hAnsi="Arial" w:cs="Arial"/>
                              <w:i/>
                              <w:color w:val="0000FF"/>
                              <w:sz w:val="20"/>
                              <w:u w:val="single"/>
                            </w:rPr>
                            <w:t>Creative Commons Attribution 4.0 International (CC BY 4.0)</w:t>
                          </w:r>
                        </w:p>
                        <w:p w14:paraId="69531073" w14:textId="77777777" w:rsidR="00D70405" w:rsidRDefault="00D70405">
                          <w:pPr>
                            <w:spacing w:before="40"/>
                          </w:pPr>
                        </w:p>
                      </w:txbxContent>
                    </wps:txbx>
                    <wps:bodyPr spcFirstLastPara="1" wrap="square" lIns="91425" tIns="45700" rIns="91425" bIns="45700" anchor="t" anchorCtr="0"/>
                  </wps:wsp>
                </a:graphicData>
              </a:graphic>
            </wp:anchor>
          </w:drawing>
        </mc:Choice>
        <mc:Fallback>
          <w:pict>
            <v:rect id="Rectangle 1638893286" o:spid="_x0000_s2050" style="width:395.3pt;height:45.7pt;margin-top:2pt;margin-left:-5pt;mso-wrap-distance-bottom:0;mso-wrap-distance-left:9pt;mso-wrap-distance-right:9pt;mso-wrap-distance-top:0;mso-wrap-style:square;position:absolute;v-text-anchor:top;visibility:visible;z-index:251661312" filled="f" stroked="f">
              <v:textbox inset="7.2pt,3.6pt,7.2pt,3.6pt">
                <w:txbxContent>
                  <w:p w:rsidR="00D70405" w14:paraId="33DC97E3" w14:textId="77777777">
                    <w:r>
                      <w:rPr>
                        <w:rFonts w:ascii="Arial" w:eastAsia="Arial" w:hAnsi="Arial" w:cs="Arial"/>
                        <w:i/>
                        <w:color w:val="000000"/>
                        <w:sz w:val="20"/>
                      </w:rPr>
                      <w:t xml:space="preserve">Copyright to Author </w:t>
                    </w:r>
                  </w:p>
                  <w:p w:rsidR="00D70405" w14:paraId="30BBA8E5" w14:textId="77777777">
                    <w:r>
                      <w:rPr>
                        <w:rFonts w:ascii="Arial" w:eastAsia="Arial" w:hAnsi="Arial" w:cs="Arial"/>
                        <w:i/>
                        <w:color w:val="000000"/>
                        <w:sz w:val="20"/>
                      </w:rPr>
                      <w:t xml:space="preserve">Licence: </w:t>
                    </w:r>
                    <w:r>
                      <w:rPr>
                        <w:rFonts w:ascii="Arial" w:eastAsia="Arial" w:hAnsi="Arial" w:cs="Arial"/>
                        <w:i/>
                        <w:color w:val="0000FF"/>
                        <w:sz w:val="20"/>
                        <w:u w:val="single"/>
                      </w:rPr>
                      <w:t>Creative Commons Attribution 4.0 International (CC BY 4.0)</w:t>
                    </w:r>
                  </w:p>
                  <w:p w:rsidR="00D70405" w14:paraId="2A4B3355" w14:textId="77777777">
                    <w:pPr>
                      <w:spacing w:before="40"/>
                    </w:pPr>
                  </w:p>
                </w:txbxContent>
              </v:textbox>
            </v:rect>
          </w:pict>
        </mc:Fallback>
      </mc:AlternateContent>
    </w:r>
  </w:p>
  <w:p w14:paraId="13720D74" w14:textId="77777777" w:rsidR="00D70405" w:rsidRDefault="00D70405">
    <w:pPr>
      <w:pBdr>
        <w:top w:val="nil"/>
        <w:left w:val="nil"/>
        <w:bottom w:val="nil"/>
        <w:right w:val="nil"/>
        <w:between w:val="nil"/>
      </w:pBdr>
      <w:tabs>
        <w:tab w:val="center" w:pos="4513"/>
        <w:tab w:val="right" w:pos="9026"/>
      </w:tabs>
      <w:jc w:val="right"/>
      <w:rPr>
        <w:rFonts w:ascii="Arial" w:eastAsia="Arial" w:hAnsi="Arial" w:cs="Arial"/>
        <w:color w:val="000000"/>
      </w:rPr>
    </w:pPr>
  </w:p>
  <w:p w14:paraId="197AC75A" w14:textId="77777777" w:rsidR="00D70405" w:rsidRDefault="00D7040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DBCA" w14:textId="77777777" w:rsidR="00D70405" w:rsidRDefault="00426C08">
    <w:pPr>
      <w:pBdr>
        <w:top w:val="nil"/>
        <w:left w:val="nil"/>
        <w:bottom w:val="nil"/>
        <w:right w:val="nil"/>
        <w:between w:val="nil"/>
      </w:pBdr>
      <w:tabs>
        <w:tab w:val="center" w:pos="4513"/>
        <w:tab w:val="right" w:pos="9026"/>
      </w:tabs>
      <w:spacing w:before="240"/>
      <w:jc w:val="right"/>
      <w:rPr>
        <w:rFonts w:ascii="Arial" w:eastAsia="Arial" w:hAnsi="Arial" w:cs="Arial"/>
        <w:color w:val="000000"/>
      </w:rPr>
    </w:pPr>
    <w:r>
      <w:rPr>
        <w:rFonts w:ascii="Arial" w:eastAsia="Arial" w:hAnsi="Arial" w:cs="Arial"/>
        <w:color w:val="000000"/>
      </w:rPr>
      <w:t xml:space="preserve">Hal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419EB">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 xml:space="preserve"> </w:t>
    </w:r>
    <w:r>
      <w:rPr>
        <w:noProof/>
      </w:rPr>
      <mc:AlternateContent>
        <mc:Choice Requires="wps">
          <w:drawing>
            <wp:anchor distT="0" distB="0" distL="0" distR="0" simplePos="0" relativeHeight="251658752" behindDoc="1" locked="0" layoutInCell="1" allowOverlap="1" wp14:anchorId="57EB77CE" wp14:editId="7F6005CE">
              <wp:simplePos x="0" y="0"/>
              <wp:positionH relativeFrom="column">
                <wp:posOffset>5207000</wp:posOffset>
              </wp:positionH>
              <wp:positionV relativeFrom="paragraph">
                <wp:posOffset>38100</wp:posOffset>
              </wp:positionV>
              <wp:extent cx="661125" cy="375285"/>
              <wp:effectExtent l="0" t="0" r="0" b="0"/>
              <wp:wrapNone/>
              <wp:docPr id="1638893289" name="Rectangle 1638893289"/>
              <wp:cNvGraphicFramePr/>
              <a:graphic xmlns:a="http://schemas.openxmlformats.org/drawingml/2006/main">
                <a:graphicData uri="http://schemas.microsoft.com/office/word/2010/wordprocessingShape">
                  <wps:wsp>
                    <wps:cNvSpPr/>
                    <wps:spPr>
                      <a:xfrm>
                        <a:off x="5020200" y="3597120"/>
                        <a:ext cx="661125" cy="375285"/>
                      </a:xfrm>
                      <a:prstGeom prst="rect">
                        <a:avLst/>
                      </a:prstGeom>
                      <a:solidFill>
                        <a:srgbClr val="FFF2CC"/>
                      </a:solidFill>
                      <a:ln>
                        <a:noFill/>
                      </a:ln>
                    </wps:spPr>
                    <wps:txbx>
                      <w:txbxContent>
                        <w:p w14:paraId="65B29C78" w14:textId="77777777" w:rsidR="00D70405" w:rsidRDefault="00D70405">
                          <w:pPr>
                            <w:jc w:val="left"/>
                          </w:pPr>
                        </w:p>
                      </w:txbxContent>
                    </wps:txbx>
                    <wps:bodyPr spcFirstLastPara="1" wrap="square" lIns="91425" tIns="91425" rIns="91425" bIns="91425" anchor="ctr" anchorCtr="0"/>
                  </wps:wsp>
                </a:graphicData>
              </a:graphic>
            </wp:anchor>
          </w:drawing>
        </mc:Choice>
        <mc:Fallback>
          <w:pict>
            <v:rect id="Rectangle 1638893289" o:spid="_x0000_s2051" style="width:52.05pt;height:29.55pt;margin-top:3pt;margin-left:410pt;mso-wrap-distance-bottom:0;mso-wrap-distance-left:0;mso-wrap-distance-right:0;mso-wrap-distance-top:0;mso-wrap-style:square;position:absolute;v-text-anchor:middle;visibility:visible;z-index:-251653120" fillcolor="#fff2cc" stroked="f">
              <v:textbox inset="7.2pt,7.2pt,7.2pt,7.2pt">
                <w:txbxContent>
                  <w:p w:rsidR="00D70405" w14:paraId="039E2DB9" w14:textId="77777777">
                    <w:pPr>
                      <w:jc w:val="left"/>
                    </w:pP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21CBA63A" wp14:editId="1CB4B240">
              <wp:simplePos x="0" y="0"/>
              <wp:positionH relativeFrom="column">
                <wp:posOffset>-101599</wp:posOffset>
              </wp:positionH>
              <wp:positionV relativeFrom="paragraph">
                <wp:posOffset>0</wp:posOffset>
              </wp:positionV>
              <wp:extent cx="5763053" cy="708167"/>
              <wp:effectExtent l="0" t="0" r="0" b="0"/>
              <wp:wrapNone/>
              <wp:docPr id="1638893288" name="Rectangle 1638893288"/>
              <wp:cNvGraphicFramePr/>
              <a:graphic xmlns:a="http://schemas.openxmlformats.org/drawingml/2006/main">
                <a:graphicData uri="http://schemas.microsoft.com/office/word/2010/wordprocessingShape">
                  <wps:wsp>
                    <wps:cNvSpPr/>
                    <wps:spPr>
                      <a:xfrm>
                        <a:off x="2469236" y="3430679"/>
                        <a:ext cx="5763053" cy="708167"/>
                      </a:xfrm>
                      <a:prstGeom prst="rect">
                        <a:avLst/>
                      </a:prstGeom>
                      <a:noFill/>
                      <a:ln>
                        <a:noFill/>
                      </a:ln>
                    </wps:spPr>
                    <wps:txbx>
                      <w:txbxContent>
                        <w:p w14:paraId="24122898" w14:textId="77777777" w:rsidR="00D70405" w:rsidRDefault="00426C08">
                          <w:r>
                            <w:rPr>
                              <w:rFonts w:ascii="Arial" w:eastAsia="Arial" w:hAnsi="Arial" w:cs="Arial"/>
                              <w:b/>
                              <w:i/>
                              <w:color w:val="000000"/>
                              <w:sz w:val="20"/>
                            </w:rPr>
                            <w:t>Penerbit</w:t>
                          </w:r>
                          <w:r>
                            <w:rPr>
                              <w:rFonts w:ascii="Arial" w:eastAsia="Arial" w:hAnsi="Arial" w:cs="Arial"/>
                              <w:i/>
                              <w:color w:val="000000"/>
                              <w:sz w:val="20"/>
                            </w:rPr>
                            <w:t xml:space="preserve">: Politeknik Negeri Banyuwangi  </w:t>
                          </w:r>
                        </w:p>
                        <w:p w14:paraId="67AC02EB" w14:textId="77777777" w:rsidR="00D70405" w:rsidRDefault="00426C08">
                          <w:r>
                            <w:rPr>
                              <w:rFonts w:ascii="Arial" w:eastAsia="Arial" w:hAnsi="Arial" w:cs="Arial"/>
                              <w:i/>
                              <w:color w:val="000000"/>
                              <w:sz w:val="20"/>
                            </w:rPr>
                            <w:t>Pusat Penelitian dan Pengabdian Kepada Masyarakat</w:t>
                          </w:r>
                        </w:p>
                        <w:p w14:paraId="4CF8D7F3" w14:textId="77777777" w:rsidR="00D70405" w:rsidRDefault="00426C08">
                          <w:r>
                            <w:rPr>
                              <w:rFonts w:ascii="Arial" w:eastAsia="Arial" w:hAnsi="Arial" w:cs="Arial"/>
                              <w:i/>
                              <w:color w:val="000000"/>
                              <w:sz w:val="20"/>
                            </w:rPr>
                            <w:t>Copyright to Author</w:t>
                          </w:r>
                        </w:p>
                        <w:p w14:paraId="0181524F" w14:textId="77777777" w:rsidR="00D70405" w:rsidRDefault="00426C08">
                          <w:r>
                            <w:rPr>
                              <w:rFonts w:ascii="Arial" w:eastAsia="Arial" w:hAnsi="Arial" w:cs="Arial"/>
                              <w:i/>
                              <w:color w:val="000000"/>
                              <w:sz w:val="20"/>
                            </w:rPr>
                            <w:t xml:space="preserve">Licence : </w:t>
                          </w:r>
                          <w:r>
                            <w:rPr>
                              <w:rFonts w:ascii="Arial" w:eastAsia="Arial" w:hAnsi="Arial" w:cs="Arial"/>
                              <w:i/>
                              <w:color w:val="0000FF"/>
                              <w:sz w:val="20"/>
                              <w:u w:val="single"/>
                            </w:rPr>
                            <w:t>Creative Commons Attribution 4.0 International (CC BY 4.0)</w:t>
                          </w:r>
                        </w:p>
                      </w:txbxContent>
                    </wps:txbx>
                    <wps:bodyPr spcFirstLastPara="1" wrap="square" lIns="91425" tIns="45700" rIns="91425" bIns="45700" anchor="t" anchorCtr="0"/>
                  </wps:wsp>
                </a:graphicData>
              </a:graphic>
            </wp:anchor>
          </w:drawing>
        </mc:Choice>
        <mc:Fallback>
          <w:pict>
            <v:rect id="Rectangle 1638893288" o:spid="_x0000_s2052" style="width:453.8pt;height:55.75pt;margin-top:0;margin-left:-8pt;mso-wrap-distance-bottom:0;mso-wrap-distance-left:9pt;mso-wrap-distance-right:9pt;mso-wrap-distance-top:0;mso-wrap-style:square;position:absolute;v-text-anchor:top;visibility:visible;z-index:251665408" filled="f" stroked="f">
              <v:textbox inset="7.2pt,3.6pt,7.2pt,3.6pt">
                <w:txbxContent>
                  <w:p w:rsidR="00D70405" w14:paraId="28C48DB5" w14:textId="77777777">
                    <w:r>
                      <w:rPr>
                        <w:rFonts w:ascii="Arial" w:eastAsia="Arial" w:hAnsi="Arial" w:cs="Arial"/>
                        <w:b/>
                        <w:i/>
                        <w:color w:val="000000"/>
                        <w:sz w:val="20"/>
                      </w:rPr>
                      <w:t>Penerbit</w:t>
                    </w:r>
                    <w:r>
                      <w:rPr>
                        <w:rFonts w:ascii="Arial" w:eastAsia="Arial" w:hAnsi="Arial" w:cs="Arial"/>
                        <w:i/>
                        <w:color w:val="000000"/>
                        <w:sz w:val="20"/>
                      </w:rPr>
                      <w:t xml:space="preserve">: Politeknik Negeri Banyuwangi  </w:t>
                    </w:r>
                  </w:p>
                  <w:p w:rsidR="00D70405" w14:paraId="177D1F0A" w14:textId="77777777">
                    <w:r>
                      <w:rPr>
                        <w:rFonts w:ascii="Arial" w:eastAsia="Arial" w:hAnsi="Arial" w:cs="Arial"/>
                        <w:i/>
                        <w:color w:val="000000"/>
                        <w:sz w:val="20"/>
                      </w:rPr>
                      <w:t>Pusat Penelitian dan Pengabdian Kepada Masyarakat</w:t>
                    </w:r>
                  </w:p>
                  <w:p w:rsidR="00D70405" w14:paraId="361C84A5" w14:textId="77777777">
                    <w:r>
                      <w:rPr>
                        <w:rFonts w:ascii="Arial" w:eastAsia="Arial" w:hAnsi="Arial" w:cs="Arial"/>
                        <w:i/>
                        <w:color w:val="000000"/>
                        <w:sz w:val="20"/>
                      </w:rPr>
                      <w:t>Copyright to Author</w:t>
                    </w:r>
                  </w:p>
                  <w:p w:rsidR="00D70405" w14:paraId="7F1988C0" w14:textId="77777777">
                    <w:r>
                      <w:rPr>
                        <w:rFonts w:ascii="Arial" w:eastAsia="Arial" w:hAnsi="Arial" w:cs="Arial"/>
                        <w:i/>
                        <w:color w:val="000000"/>
                        <w:sz w:val="20"/>
                      </w:rPr>
                      <w:t xml:space="preserve">Licence : </w:t>
                    </w:r>
                    <w:r>
                      <w:rPr>
                        <w:rFonts w:ascii="Arial" w:eastAsia="Arial" w:hAnsi="Arial" w:cs="Arial"/>
                        <w:i/>
                        <w:color w:val="0000FF"/>
                        <w:sz w:val="20"/>
                        <w:u w:val="single"/>
                      </w:rPr>
                      <w:t>Creative Commons Attribution 4.0 International (CC BY 4.0)</w:t>
                    </w:r>
                  </w:p>
                </w:txbxContent>
              </v:textbox>
            </v:rect>
          </w:pict>
        </mc:Fallback>
      </mc:AlternateContent>
    </w:r>
  </w:p>
  <w:p w14:paraId="6A97D482" w14:textId="77777777" w:rsidR="00D70405" w:rsidRDefault="00D70405">
    <w:pPr>
      <w:pBdr>
        <w:top w:val="nil"/>
        <w:left w:val="nil"/>
        <w:bottom w:val="nil"/>
        <w:right w:val="nil"/>
        <w:between w:val="nil"/>
      </w:pBdr>
      <w:tabs>
        <w:tab w:val="center" w:pos="4513"/>
        <w:tab w:val="right" w:pos="9026"/>
      </w:tabs>
      <w:jc w:val="center"/>
      <w:rPr>
        <w:rFonts w:ascii="Arial" w:eastAsia="Arial" w:hAnsi="Arial" w:cs="Arial"/>
        <w:color w:val="000000"/>
      </w:rPr>
    </w:pPr>
  </w:p>
  <w:p w14:paraId="5DC0704B" w14:textId="77777777" w:rsidR="00D70405" w:rsidRDefault="00D70405">
    <w:pPr>
      <w:pBdr>
        <w:top w:val="nil"/>
        <w:left w:val="nil"/>
        <w:bottom w:val="nil"/>
        <w:right w:val="nil"/>
        <w:between w:val="nil"/>
      </w:pBdr>
      <w:tabs>
        <w:tab w:val="center" w:pos="4513"/>
        <w:tab w:val="right" w:pos="9026"/>
      </w:tabs>
      <w:jc w:val="right"/>
      <w:rPr>
        <w:rFonts w:ascii="Arial" w:eastAsia="Arial" w:hAnsi="Arial" w:cs="Arial"/>
        <w:color w:val="000000"/>
      </w:rPr>
    </w:pPr>
  </w:p>
  <w:p w14:paraId="3AA0CAC2" w14:textId="77777777" w:rsidR="00D70405" w:rsidRDefault="00D7040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FED4" w14:textId="77777777" w:rsidR="00492AFE" w:rsidRDefault="00492AFE">
      <w:r>
        <w:separator/>
      </w:r>
    </w:p>
  </w:footnote>
  <w:footnote w:type="continuationSeparator" w:id="0">
    <w:p w14:paraId="34D1B761" w14:textId="77777777" w:rsidR="00492AFE" w:rsidRDefault="00492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4861" w14:textId="77777777" w:rsidR="00D70405" w:rsidRDefault="00426C08">
    <w:pPr>
      <w:pBdr>
        <w:top w:val="nil"/>
        <w:left w:val="nil"/>
        <w:bottom w:val="nil"/>
        <w:right w:val="nil"/>
        <w:between w:val="nil"/>
      </w:pBdr>
      <w:tabs>
        <w:tab w:val="center" w:pos="4513"/>
        <w:tab w:val="right" w:pos="9026"/>
      </w:tabs>
      <w:rPr>
        <w:color w:val="000000"/>
        <w:sz w:val="20"/>
        <w:szCs w:val="20"/>
      </w:rPr>
    </w:pPr>
    <w:r>
      <w:rPr>
        <w:color w:val="000000"/>
        <w:sz w:val="20"/>
        <w:szCs w:val="20"/>
      </w:rPr>
      <w:t xml:space="preserve">Jurnal Abdiwangi | Edisi: 1  | vol: 1 | 2023, </w:t>
    </w:r>
  </w:p>
  <w:p w14:paraId="63078A2D" w14:textId="77777777" w:rsidR="00D70405" w:rsidRDefault="00426C08">
    <w:pPr>
      <w:pBdr>
        <w:top w:val="nil"/>
        <w:left w:val="nil"/>
        <w:bottom w:val="nil"/>
        <w:right w:val="nil"/>
        <w:between w:val="nil"/>
      </w:pBdr>
      <w:tabs>
        <w:tab w:val="center" w:pos="4513"/>
        <w:tab w:val="right" w:pos="9026"/>
      </w:tabs>
      <w:rPr>
        <w:color w:val="000000"/>
      </w:rPr>
    </w:pPr>
    <w:r>
      <w:rPr>
        <w:color w:val="000000"/>
        <w:sz w:val="20"/>
        <w:szCs w:val="20"/>
      </w:rPr>
      <w:t xml:space="preserve"> Issn | eissn|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8CE4" w14:textId="77777777" w:rsidR="00D70405" w:rsidRDefault="00D70405">
    <w:pPr>
      <w:widowControl w:val="0"/>
      <w:pBdr>
        <w:top w:val="nil"/>
        <w:left w:val="nil"/>
        <w:bottom w:val="nil"/>
        <w:right w:val="nil"/>
        <w:between w:val="nil"/>
      </w:pBdr>
      <w:spacing w:line="276" w:lineRule="auto"/>
      <w:jc w:val="left"/>
      <w:rPr>
        <w:color w:val="000000"/>
      </w:rPr>
    </w:pPr>
  </w:p>
  <w:tbl>
    <w:tblPr>
      <w:tblStyle w:val="a4"/>
      <w:tblW w:w="9198" w:type="dxa"/>
      <w:tblBorders>
        <w:top w:val="nil"/>
        <w:left w:val="nil"/>
        <w:bottom w:val="nil"/>
        <w:right w:val="nil"/>
        <w:insideH w:val="nil"/>
        <w:insideV w:val="nil"/>
      </w:tblBorders>
      <w:tblLayout w:type="fixed"/>
      <w:tblLook w:val="0400" w:firstRow="0" w:lastRow="0" w:firstColumn="0" w:lastColumn="0" w:noHBand="0" w:noVBand="1"/>
    </w:tblPr>
    <w:tblGrid>
      <w:gridCol w:w="9198"/>
    </w:tblGrid>
    <w:tr w:rsidR="00715464" w14:paraId="7F67CD98" w14:textId="77777777">
      <w:trPr>
        <w:trHeight w:val="420"/>
      </w:trPr>
      <w:tc>
        <w:tcPr>
          <w:tcW w:w="9198" w:type="dxa"/>
          <w:shd w:val="clear" w:color="auto" w:fill="EAB200"/>
          <w:vAlign w:val="center"/>
        </w:tcPr>
        <w:p w14:paraId="13E2D090" w14:textId="77777777" w:rsidR="00D70405" w:rsidRDefault="00426C08">
          <w:pPr>
            <w:pBdr>
              <w:top w:val="nil"/>
              <w:left w:val="nil"/>
              <w:bottom w:val="nil"/>
              <w:right w:val="nil"/>
              <w:between w:val="nil"/>
            </w:pBdr>
            <w:tabs>
              <w:tab w:val="center" w:pos="4513"/>
              <w:tab w:val="right" w:pos="9026"/>
            </w:tabs>
            <w:spacing w:line="276" w:lineRule="auto"/>
            <w:ind w:left="0"/>
            <w:rPr>
              <w:rFonts w:ascii="Arial" w:eastAsia="Arial" w:hAnsi="Arial" w:cs="Arial"/>
              <w:b/>
              <w:color w:val="000000"/>
              <w:sz w:val="20"/>
              <w:szCs w:val="20"/>
            </w:rPr>
          </w:pPr>
          <w:bookmarkStart w:id="1" w:name="_heading=h.gjdgxs" w:colFirst="0" w:colLast="0"/>
          <w:bookmarkEnd w:id="1"/>
          <w:r>
            <w:rPr>
              <w:rFonts w:ascii="Arial" w:eastAsia="Arial" w:hAnsi="Arial" w:cs="Arial"/>
              <w:b/>
              <w:color w:val="000000"/>
              <w:sz w:val="20"/>
              <w:szCs w:val="20"/>
            </w:rPr>
            <w:t xml:space="preserve">Jurnal Abdiwangi </w:t>
          </w:r>
        </w:p>
      </w:tc>
    </w:tr>
    <w:tr w:rsidR="00715464" w14:paraId="06C366B7" w14:textId="77777777">
      <w:trPr>
        <w:trHeight w:val="531"/>
      </w:trPr>
      <w:tc>
        <w:tcPr>
          <w:tcW w:w="9198" w:type="dxa"/>
          <w:shd w:val="clear" w:color="auto" w:fill="auto"/>
          <w:vAlign w:val="center"/>
        </w:tcPr>
        <w:p w14:paraId="4C4743A4" w14:textId="77777777" w:rsidR="00D70405" w:rsidRDefault="00426C08">
          <w:pPr>
            <w:pBdr>
              <w:top w:val="nil"/>
              <w:left w:val="nil"/>
              <w:bottom w:val="nil"/>
              <w:right w:val="nil"/>
              <w:between w:val="nil"/>
            </w:pBdr>
            <w:tabs>
              <w:tab w:val="center" w:pos="4513"/>
              <w:tab w:val="right" w:pos="9026"/>
            </w:tabs>
            <w:spacing w:line="276" w:lineRule="auto"/>
            <w:ind w:left="0"/>
            <w:rPr>
              <w:rFonts w:ascii="Arial" w:eastAsia="Arial" w:hAnsi="Arial" w:cs="Arial"/>
              <w:color w:val="000000"/>
              <w:sz w:val="20"/>
              <w:szCs w:val="20"/>
            </w:rPr>
          </w:pPr>
          <w:r>
            <w:rPr>
              <w:rFonts w:ascii="Arial" w:eastAsia="Arial" w:hAnsi="Arial" w:cs="Arial"/>
              <w:color w:val="000000"/>
              <w:sz w:val="20"/>
              <w:szCs w:val="20"/>
            </w:rPr>
            <w:t>Vol. x | No.  x | Bulan, Tahun | Hal: x-x</w:t>
          </w:r>
        </w:p>
        <w:p w14:paraId="64FADB7E" w14:textId="77777777" w:rsidR="00D70405" w:rsidRDefault="00426C08">
          <w:pPr>
            <w:pBdr>
              <w:top w:val="nil"/>
              <w:left w:val="nil"/>
              <w:bottom w:val="nil"/>
              <w:right w:val="nil"/>
              <w:between w:val="nil"/>
            </w:pBdr>
            <w:tabs>
              <w:tab w:val="center" w:pos="4513"/>
              <w:tab w:val="right" w:pos="9026"/>
            </w:tabs>
            <w:spacing w:line="276" w:lineRule="auto"/>
            <w:ind w:left="0"/>
            <w:rPr>
              <w:rFonts w:ascii="Arial" w:eastAsia="Arial" w:hAnsi="Arial" w:cs="Arial"/>
              <w:color w:val="000000"/>
              <w:sz w:val="20"/>
              <w:szCs w:val="20"/>
            </w:rPr>
          </w:pPr>
          <w:r>
            <w:rPr>
              <w:rFonts w:ascii="Arial" w:eastAsia="Arial" w:hAnsi="Arial" w:cs="Arial"/>
              <w:color w:val="000000"/>
              <w:sz w:val="20"/>
              <w:szCs w:val="20"/>
            </w:rPr>
            <w:t>DOI: XXXX</w:t>
          </w:r>
        </w:p>
      </w:tc>
    </w:tr>
  </w:tbl>
  <w:p w14:paraId="11482A37" w14:textId="77777777" w:rsidR="00D70405" w:rsidRDefault="00D70405">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4D88" w14:textId="77777777" w:rsidR="00D70405" w:rsidRDefault="00D70405">
    <w:pPr>
      <w:widowControl w:val="0"/>
      <w:pBdr>
        <w:top w:val="nil"/>
        <w:left w:val="nil"/>
        <w:bottom w:val="nil"/>
        <w:right w:val="nil"/>
        <w:between w:val="nil"/>
      </w:pBdr>
      <w:spacing w:line="276" w:lineRule="auto"/>
      <w:jc w:val="left"/>
      <w:rPr>
        <w:color w:val="000000"/>
      </w:rPr>
    </w:pPr>
  </w:p>
  <w:tbl>
    <w:tblPr>
      <w:tblStyle w:val="a5"/>
      <w:tblW w:w="907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715464" w14:paraId="4686F4F9" w14:textId="77777777">
      <w:trPr>
        <w:trHeight w:val="236"/>
      </w:trPr>
      <w:tc>
        <w:tcPr>
          <w:tcW w:w="9072" w:type="dxa"/>
          <w:shd w:val="clear" w:color="auto" w:fill="FFF2CC"/>
          <w:vAlign w:val="center"/>
        </w:tcPr>
        <w:p w14:paraId="3B4E5105" w14:textId="77777777" w:rsidR="00D70405" w:rsidRDefault="00426C08">
          <w:pPr>
            <w:pBdr>
              <w:top w:val="nil"/>
              <w:left w:val="nil"/>
              <w:bottom w:val="nil"/>
              <w:right w:val="nil"/>
              <w:between w:val="nil"/>
            </w:pBdr>
            <w:tabs>
              <w:tab w:val="center" w:pos="4513"/>
              <w:tab w:val="right" w:pos="9026"/>
            </w:tabs>
            <w:spacing w:before="120"/>
            <w:ind w:left="28"/>
            <w:jc w:val="right"/>
            <w:rPr>
              <w:rFonts w:ascii="Arial" w:eastAsia="Arial" w:hAnsi="Arial" w:cs="Arial"/>
              <w:b/>
              <w:color w:val="000000"/>
              <w:sz w:val="20"/>
              <w:szCs w:val="20"/>
            </w:rPr>
          </w:pPr>
          <w:bookmarkStart w:id="2" w:name="_heading=h.30j0zll" w:colFirst="0" w:colLast="0"/>
          <w:bookmarkEnd w:id="2"/>
          <w:r>
            <w:rPr>
              <w:rFonts w:ascii="Arial" w:eastAsia="Arial" w:hAnsi="Arial" w:cs="Arial"/>
              <w:b/>
              <w:color w:val="000000"/>
            </w:rPr>
            <w:t>Jurnal Pegabdian dan Pemberdayaan Banyuwangi</w:t>
          </w:r>
        </w:p>
      </w:tc>
    </w:tr>
    <w:tr w:rsidR="00715464" w14:paraId="412AD09E" w14:textId="77777777">
      <w:trPr>
        <w:trHeight w:val="594"/>
      </w:trPr>
      <w:tc>
        <w:tcPr>
          <w:tcW w:w="9072" w:type="dxa"/>
          <w:shd w:val="clear" w:color="auto" w:fill="FFF2CC"/>
          <w:vAlign w:val="center"/>
        </w:tcPr>
        <w:p w14:paraId="4270CB39" w14:textId="77777777" w:rsidR="00D70405" w:rsidRDefault="00426C08">
          <w:pPr>
            <w:pBdr>
              <w:top w:val="nil"/>
              <w:left w:val="nil"/>
              <w:bottom w:val="nil"/>
              <w:right w:val="nil"/>
              <w:between w:val="nil"/>
            </w:pBdr>
            <w:tabs>
              <w:tab w:val="center" w:pos="4513"/>
              <w:tab w:val="right" w:pos="9026"/>
            </w:tabs>
            <w:ind w:left="31"/>
            <w:jc w:val="right"/>
            <w:rPr>
              <w:rFonts w:ascii="Arial" w:eastAsia="Arial" w:hAnsi="Arial" w:cs="Arial"/>
              <w:color w:val="000000"/>
            </w:rPr>
          </w:pPr>
          <w:r>
            <w:rPr>
              <w:rFonts w:ascii="Arial" w:eastAsia="Arial" w:hAnsi="Arial" w:cs="Arial"/>
              <w:color w:val="000000"/>
            </w:rPr>
            <w:t>Vol. x | No. x | bulan tahun | Hal: x-x</w:t>
          </w:r>
          <w:r>
            <w:rPr>
              <w:noProof/>
            </w:rPr>
            <w:drawing>
              <wp:anchor distT="0" distB="0" distL="114300" distR="114300" simplePos="0" relativeHeight="251656704" behindDoc="0" locked="0" layoutInCell="1" allowOverlap="1" wp14:anchorId="35934564" wp14:editId="6DD9CF1D">
                <wp:simplePos x="0" y="0"/>
                <wp:positionH relativeFrom="column">
                  <wp:posOffset>-71119</wp:posOffset>
                </wp:positionH>
                <wp:positionV relativeFrom="paragraph">
                  <wp:posOffset>-169544</wp:posOffset>
                </wp:positionV>
                <wp:extent cx="858520" cy="823595"/>
                <wp:effectExtent l="0" t="0" r="0" b="0"/>
                <wp:wrapNone/>
                <wp:docPr id="1638893291" name="image6.png" descr="A logo with a triangle and a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638893291" name="image6.png" descr="A logo with a triangle and a letter&#10;&#10;Description automatically generated"/>
                        <pic:cNvPicPr/>
                      </pic:nvPicPr>
                      <pic:blipFill>
                        <a:blip r:embed="rId1"/>
                        <a:srcRect l="7125" t="8303" r="4440" b="6870"/>
                        <a:stretch>
                          <a:fillRect/>
                        </a:stretch>
                      </pic:blipFill>
                      <pic:spPr>
                        <a:xfrm>
                          <a:off x="0" y="0"/>
                          <a:ext cx="858520" cy="823595"/>
                        </a:xfrm>
                        <a:prstGeom prst="rect">
                          <a:avLst/>
                        </a:prstGeom>
                      </pic:spPr>
                    </pic:pic>
                  </a:graphicData>
                </a:graphic>
              </wp:anchor>
            </w:drawing>
          </w:r>
        </w:p>
        <w:p w14:paraId="7C313095" w14:textId="77777777" w:rsidR="00D70405" w:rsidRDefault="00426C08">
          <w:pPr>
            <w:pBdr>
              <w:top w:val="nil"/>
              <w:left w:val="nil"/>
              <w:bottom w:val="nil"/>
              <w:right w:val="nil"/>
              <w:between w:val="nil"/>
            </w:pBdr>
            <w:tabs>
              <w:tab w:val="center" w:pos="4513"/>
              <w:tab w:val="right" w:pos="9026"/>
            </w:tabs>
            <w:ind w:left="31"/>
            <w:jc w:val="right"/>
            <w:rPr>
              <w:rFonts w:ascii="Arial" w:eastAsia="Arial" w:hAnsi="Arial" w:cs="Arial"/>
              <w:color w:val="000000"/>
            </w:rPr>
          </w:pPr>
          <w:r>
            <w:rPr>
              <w:rFonts w:ascii="Arial" w:eastAsia="Arial" w:hAnsi="Arial" w:cs="Arial"/>
              <w:color w:val="000000"/>
            </w:rPr>
            <w:t>e-ISSN: XXXX</w:t>
          </w:r>
        </w:p>
        <w:p w14:paraId="0621AD08" w14:textId="77777777" w:rsidR="00D70405" w:rsidRDefault="00426C08">
          <w:pPr>
            <w:pBdr>
              <w:top w:val="nil"/>
              <w:left w:val="nil"/>
              <w:bottom w:val="nil"/>
              <w:right w:val="nil"/>
              <w:between w:val="nil"/>
            </w:pBdr>
            <w:tabs>
              <w:tab w:val="center" w:pos="4513"/>
              <w:tab w:val="right" w:pos="9026"/>
            </w:tabs>
            <w:ind w:left="31"/>
            <w:jc w:val="right"/>
            <w:rPr>
              <w:rFonts w:ascii="Arial" w:eastAsia="Arial" w:hAnsi="Arial" w:cs="Arial"/>
              <w:color w:val="000000"/>
              <w:sz w:val="20"/>
              <w:szCs w:val="20"/>
            </w:rPr>
          </w:pPr>
          <w:r>
            <w:rPr>
              <w:rFonts w:ascii="Arial" w:eastAsia="Arial" w:hAnsi="Arial" w:cs="Arial"/>
              <w:color w:val="000000"/>
            </w:rPr>
            <w:t>DOI: XXXX</w:t>
          </w:r>
        </w:p>
        <w:p w14:paraId="54F7CAC5" w14:textId="77777777" w:rsidR="00D70405" w:rsidRDefault="00C4676F">
          <w:pPr>
            <w:pBdr>
              <w:top w:val="nil"/>
              <w:left w:val="nil"/>
              <w:bottom w:val="nil"/>
              <w:right w:val="nil"/>
              <w:between w:val="nil"/>
            </w:pBdr>
            <w:tabs>
              <w:tab w:val="center" w:pos="4513"/>
              <w:tab w:val="right" w:pos="9026"/>
            </w:tabs>
            <w:ind w:left="31"/>
            <w:jc w:val="right"/>
            <w:rPr>
              <w:rFonts w:ascii="Arial" w:eastAsia="Arial" w:hAnsi="Arial" w:cs="Arial"/>
              <w:color w:val="000000"/>
              <w:sz w:val="20"/>
              <w:szCs w:val="20"/>
            </w:rPr>
          </w:pPr>
          <w:hyperlink r:id="rId2">
            <w:r>
              <w:rPr>
                <w:rFonts w:ascii="Arial" w:eastAsia="Arial" w:hAnsi="Arial" w:cs="Arial"/>
                <w:i/>
                <w:color w:val="000000"/>
                <w:sz w:val="20"/>
                <w:szCs w:val="20"/>
                <w:u w:val="single"/>
              </w:rPr>
              <w:t>https://jurnal.poliwangi.ac.id/index.php/abdiwangi</w:t>
            </w:r>
          </w:hyperlink>
        </w:p>
      </w:tc>
    </w:tr>
  </w:tbl>
  <w:p w14:paraId="22920A34" w14:textId="77777777" w:rsidR="00D70405" w:rsidRDefault="00D70405">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B82"/>
    <w:multiLevelType w:val="multilevel"/>
    <w:tmpl w:val="3384D20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FE31CDD"/>
    <w:multiLevelType w:val="hybridMultilevel"/>
    <w:tmpl w:val="43DA71AA"/>
    <w:lvl w:ilvl="0" w:tplc="546AD45E">
      <w:start w:val="1"/>
      <w:numFmt w:val="bullet"/>
      <w:lvlText w:val="-"/>
      <w:lvlJc w:val="left"/>
      <w:pPr>
        <w:ind w:left="360" w:hanging="360"/>
      </w:pPr>
      <w:rPr>
        <w:rFonts w:ascii="Arial" w:eastAsia="Arial" w:hAnsi="Arial" w:cs="Arial" w:hint="default"/>
      </w:rPr>
    </w:lvl>
    <w:lvl w:ilvl="1" w:tplc="A5C2871C" w:tentative="1">
      <w:start w:val="1"/>
      <w:numFmt w:val="bullet"/>
      <w:lvlText w:val="o"/>
      <w:lvlJc w:val="left"/>
      <w:pPr>
        <w:ind w:left="1080" w:hanging="360"/>
      </w:pPr>
      <w:rPr>
        <w:rFonts w:ascii="Courier New" w:hAnsi="Courier New" w:cs="Courier New" w:hint="default"/>
      </w:rPr>
    </w:lvl>
    <w:lvl w:ilvl="2" w:tplc="D13ECB52" w:tentative="1">
      <w:start w:val="1"/>
      <w:numFmt w:val="bullet"/>
      <w:lvlText w:val=""/>
      <w:lvlJc w:val="left"/>
      <w:pPr>
        <w:ind w:left="1800" w:hanging="360"/>
      </w:pPr>
      <w:rPr>
        <w:rFonts w:ascii="Wingdings" w:hAnsi="Wingdings" w:hint="default"/>
      </w:rPr>
    </w:lvl>
    <w:lvl w:ilvl="3" w:tplc="A71AF8EC" w:tentative="1">
      <w:start w:val="1"/>
      <w:numFmt w:val="bullet"/>
      <w:lvlText w:val=""/>
      <w:lvlJc w:val="left"/>
      <w:pPr>
        <w:ind w:left="2520" w:hanging="360"/>
      </w:pPr>
      <w:rPr>
        <w:rFonts w:ascii="Symbol" w:hAnsi="Symbol" w:hint="default"/>
      </w:rPr>
    </w:lvl>
    <w:lvl w:ilvl="4" w:tplc="0FCE9326" w:tentative="1">
      <w:start w:val="1"/>
      <w:numFmt w:val="bullet"/>
      <w:lvlText w:val="o"/>
      <w:lvlJc w:val="left"/>
      <w:pPr>
        <w:ind w:left="3240" w:hanging="360"/>
      </w:pPr>
      <w:rPr>
        <w:rFonts w:ascii="Courier New" w:hAnsi="Courier New" w:cs="Courier New" w:hint="default"/>
      </w:rPr>
    </w:lvl>
    <w:lvl w:ilvl="5" w:tplc="A7225F16" w:tentative="1">
      <w:start w:val="1"/>
      <w:numFmt w:val="bullet"/>
      <w:lvlText w:val=""/>
      <w:lvlJc w:val="left"/>
      <w:pPr>
        <w:ind w:left="3960" w:hanging="360"/>
      </w:pPr>
      <w:rPr>
        <w:rFonts w:ascii="Wingdings" w:hAnsi="Wingdings" w:hint="default"/>
      </w:rPr>
    </w:lvl>
    <w:lvl w:ilvl="6" w:tplc="416C518E" w:tentative="1">
      <w:start w:val="1"/>
      <w:numFmt w:val="bullet"/>
      <w:lvlText w:val=""/>
      <w:lvlJc w:val="left"/>
      <w:pPr>
        <w:ind w:left="4680" w:hanging="360"/>
      </w:pPr>
      <w:rPr>
        <w:rFonts w:ascii="Symbol" w:hAnsi="Symbol" w:hint="default"/>
      </w:rPr>
    </w:lvl>
    <w:lvl w:ilvl="7" w:tplc="1668196C" w:tentative="1">
      <w:start w:val="1"/>
      <w:numFmt w:val="bullet"/>
      <w:lvlText w:val="o"/>
      <w:lvlJc w:val="left"/>
      <w:pPr>
        <w:ind w:left="5400" w:hanging="360"/>
      </w:pPr>
      <w:rPr>
        <w:rFonts w:ascii="Courier New" w:hAnsi="Courier New" w:cs="Courier New" w:hint="default"/>
      </w:rPr>
    </w:lvl>
    <w:lvl w:ilvl="8" w:tplc="B612860A" w:tentative="1">
      <w:start w:val="1"/>
      <w:numFmt w:val="bullet"/>
      <w:lvlText w:val=""/>
      <w:lvlJc w:val="left"/>
      <w:pPr>
        <w:ind w:left="6120" w:hanging="360"/>
      </w:pPr>
      <w:rPr>
        <w:rFonts w:ascii="Wingdings" w:hAnsi="Wingdings" w:hint="default"/>
      </w:rPr>
    </w:lvl>
  </w:abstractNum>
  <w:abstractNum w:abstractNumId="2" w15:restartNumberingAfterBreak="0">
    <w:nsid w:val="219F7D56"/>
    <w:multiLevelType w:val="hybridMultilevel"/>
    <w:tmpl w:val="2AFA42E2"/>
    <w:lvl w:ilvl="0" w:tplc="4C283294">
      <w:start w:val="1"/>
      <w:numFmt w:val="lowerLetter"/>
      <w:lvlText w:val="%1."/>
      <w:lvlJc w:val="left"/>
      <w:pPr>
        <w:ind w:left="360" w:hanging="360"/>
      </w:pPr>
    </w:lvl>
    <w:lvl w:ilvl="1" w:tplc="B4F0D8AE" w:tentative="1">
      <w:start w:val="1"/>
      <w:numFmt w:val="lowerLetter"/>
      <w:lvlText w:val="%2."/>
      <w:lvlJc w:val="left"/>
      <w:pPr>
        <w:ind w:left="1080" w:hanging="360"/>
      </w:pPr>
    </w:lvl>
    <w:lvl w:ilvl="2" w:tplc="089A6124" w:tentative="1">
      <w:start w:val="1"/>
      <w:numFmt w:val="lowerRoman"/>
      <w:lvlText w:val="%3."/>
      <w:lvlJc w:val="right"/>
      <w:pPr>
        <w:ind w:left="1800" w:hanging="180"/>
      </w:pPr>
    </w:lvl>
    <w:lvl w:ilvl="3" w:tplc="35DCA528" w:tentative="1">
      <w:start w:val="1"/>
      <w:numFmt w:val="decimal"/>
      <w:lvlText w:val="%4."/>
      <w:lvlJc w:val="left"/>
      <w:pPr>
        <w:ind w:left="2520" w:hanging="360"/>
      </w:pPr>
    </w:lvl>
    <w:lvl w:ilvl="4" w:tplc="7ACE8F3C" w:tentative="1">
      <w:start w:val="1"/>
      <w:numFmt w:val="lowerLetter"/>
      <w:lvlText w:val="%5."/>
      <w:lvlJc w:val="left"/>
      <w:pPr>
        <w:ind w:left="3240" w:hanging="360"/>
      </w:pPr>
    </w:lvl>
    <w:lvl w:ilvl="5" w:tplc="62C45BF8" w:tentative="1">
      <w:start w:val="1"/>
      <w:numFmt w:val="lowerRoman"/>
      <w:lvlText w:val="%6."/>
      <w:lvlJc w:val="right"/>
      <w:pPr>
        <w:ind w:left="3960" w:hanging="180"/>
      </w:pPr>
    </w:lvl>
    <w:lvl w:ilvl="6" w:tplc="B69C13FC" w:tentative="1">
      <w:start w:val="1"/>
      <w:numFmt w:val="decimal"/>
      <w:lvlText w:val="%7."/>
      <w:lvlJc w:val="left"/>
      <w:pPr>
        <w:ind w:left="4680" w:hanging="360"/>
      </w:pPr>
    </w:lvl>
    <w:lvl w:ilvl="7" w:tplc="08C2575E" w:tentative="1">
      <w:start w:val="1"/>
      <w:numFmt w:val="lowerLetter"/>
      <w:lvlText w:val="%8."/>
      <w:lvlJc w:val="left"/>
      <w:pPr>
        <w:ind w:left="5400" w:hanging="360"/>
      </w:pPr>
    </w:lvl>
    <w:lvl w:ilvl="8" w:tplc="15B04A54" w:tentative="1">
      <w:start w:val="1"/>
      <w:numFmt w:val="lowerRoman"/>
      <w:lvlText w:val="%9."/>
      <w:lvlJc w:val="right"/>
      <w:pPr>
        <w:ind w:left="6120" w:hanging="180"/>
      </w:pPr>
    </w:lvl>
  </w:abstractNum>
  <w:abstractNum w:abstractNumId="3" w15:restartNumberingAfterBreak="0">
    <w:nsid w:val="25AA20A0"/>
    <w:multiLevelType w:val="multilevel"/>
    <w:tmpl w:val="A5D69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CD7E13"/>
    <w:multiLevelType w:val="multilevel"/>
    <w:tmpl w:val="033451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13914942">
    <w:abstractNumId w:val="3"/>
  </w:num>
  <w:num w:numId="2" w16cid:durableId="336082786">
    <w:abstractNumId w:val="4"/>
  </w:num>
  <w:num w:numId="3" w16cid:durableId="669022074">
    <w:abstractNumId w:val="1"/>
  </w:num>
  <w:num w:numId="4" w16cid:durableId="1951233234">
    <w:abstractNumId w:val="2"/>
  </w:num>
  <w:num w:numId="5" w16cid:durableId="208320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405"/>
    <w:rsid w:val="00155912"/>
    <w:rsid w:val="00173C09"/>
    <w:rsid w:val="001B3504"/>
    <w:rsid w:val="001E0390"/>
    <w:rsid w:val="00211AC8"/>
    <w:rsid w:val="00252D66"/>
    <w:rsid w:val="002909BD"/>
    <w:rsid w:val="00316169"/>
    <w:rsid w:val="00335D4E"/>
    <w:rsid w:val="00425280"/>
    <w:rsid w:val="00426C08"/>
    <w:rsid w:val="00492AFE"/>
    <w:rsid w:val="005549B4"/>
    <w:rsid w:val="00564BE8"/>
    <w:rsid w:val="005F14BD"/>
    <w:rsid w:val="006203C2"/>
    <w:rsid w:val="00697B07"/>
    <w:rsid w:val="006D5139"/>
    <w:rsid w:val="00715464"/>
    <w:rsid w:val="007A12A1"/>
    <w:rsid w:val="007B5FC0"/>
    <w:rsid w:val="007F74AF"/>
    <w:rsid w:val="0086695B"/>
    <w:rsid w:val="00903859"/>
    <w:rsid w:val="00920101"/>
    <w:rsid w:val="00A419EB"/>
    <w:rsid w:val="00A94A48"/>
    <w:rsid w:val="00AE7E36"/>
    <w:rsid w:val="00BB184A"/>
    <w:rsid w:val="00BF7BCB"/>
    <w:rsid w:val="00C02E23"/>
    <w:rsid w:val="00C436F0"/>
    <w:rsid w:val="00C4676F"/>
    <w:rsid w:val="00C75EFC"/>
    <w:rsid w:val="00C94D11"/>
    <w:rsid w:val="00D13297"/>
    <w:rsid w:val="00D64840"/>
    <w:rsid w:val="00D66FC2"/>
    <w:rsid w:val="00D70405"/>
    <w:rsid w:val="00E05E31"/>
    <w:rsid w:val="00E2257D"/>
    <w:rsid w:val="00E9446E"/>
    <w:rsid w:val="00F2199A"/>
    <w:rsid w:val="00F30D7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2DA2"/>
  <w15:docId w15:val="{E1F9128D-0F90-40F4-8DF3-74978032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5549B4"/>
  </w:style>
  <w:style w:type="paragraph" w:styleId="Heading1">
    <w:name w:val="heading 1"/>
    <w:aliases w:val="Judul Artikel"/>
    <w:basedOn w:val="Normal"/>
    <w:next w:val="Normal"/>
    <w:link w:val="Heading1Char"/>
    <w:uiPriority w:val="9"/>
    <w:qFormat/>
    <w:rsid w:val="0005435B"/>
    <w:pPr>
      <w:keepNext/>
      <w:keepLines/>
      <w:spacing w:after="12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0543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24B1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B7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Gambar"/>
    <w:basedOn w:val="Normal"/>
    <w:next w:val="Normal"/>
    <w:link w:val="TitleChar"/>
    <w:uiPriority w:val="10"/>
    <w:qFormat/>
    <w:rsid w:val="00A70B71"/>
    <w:pPr>
      <w:spacing w:before="240" w:after="240"/>
      <w:contextualSpacing/>
      <w:jc w:val="center"/>
    </w:pPr>
    <w:rPr>
      <w:rFonts w:eastAsiaTheme="majorEastAsia" w:cstheme="majorBidi"/>
      <w:color w:val="000000" w:themeColor="text1"/>
      <w:spacing w:val="5"/>
      <w:kern w:val="28"/>
      <w:sz w:val="20"/>
      <w:szCs w:val="52"/>
    </w:rPr>
  </w:style>
  <w:style w:type="character" w:customStyle="1" w:styleId="Heading1Char">
    <w:name w:val="Heading 1 Char"/>
    <w:aliases w:val="Judul Artikel Char"/>
    <w:basedOn w:val="DefaultParagraphFont"/>
    <w:link w:val="Heading1"/>
    <w:uiPriority w:val="9"/>
    <w:rsid w:val="0005435B"/>
    <w:rPr>
      <w:rFonts w:ascii="Tahoma" w:eastAsiaTheme="majorEastAsia" w:hAnsi="Tahoma" w:cstheme="majorBidi"/>
      <w:b/>
      <w:bCs/>
      <w:color w:val="000000" w:themeColor="text1"/>
      <w:kern w:val="0"/>
      <w:sz w:val="28"/>
      <w:szCs w:val="28"/>
      <w:lang w:val="id-ID"/>
    </w:rPr>
  </w:style>
  <w:style w:type="paragraph" w:styleId="Header">
    <w:name w:val="header"/>
    <w:basedOn w:val="Normal"/>
    <w:link w:val="HeaderChar"/>
    <w:uiPriority w:val="99"/>
    <w:unhideWhenUsed/>
    <w:rsid w:val="0005435B"/>
    <w:pPr>
      <w:tabs>
        <w:tab w:val="center" w:pos="4513"/>
        <w:tab w:val="right" w:pos="9026"/>
      </w:tabs>
    </w:pPr>
  </w:style>
  <w:style w:type="character" w:customStyle="1" w:styleId="HeaderChar">
    <w:name w:val="Header Char"/>
    <w:basedOn w:val="DefaultParagraphFont"/>
    <w:link w:val="Header"/>
    <w:uiPriority w:val="99"/>
    <w:rsid w:val="0005435B"/>
    <w:rPr>
      <w:rFonts w:ascii="Tahoma" w:hAnsi="Tahoma"/>
      <w:kern w:val="0"/>
      <w:lang w:val="id-ID"/>
    </w:rPr>
  </w:style>
  <w:style w:type="paragraph" w:styleId="Footer">
    <w:name w:val="footer"/>
    <w:basedOn w:val="Normal"/>
    <w:link w:val="FooterChar"/>
    <w:uiPriority w:val="99"/>
    <w:unhideWhenUsed/>
    <w:rsid w:val="0005435B"/>
    <w:pPr>
      <w:tabs>
        <w:tab w:val="center" w:pos="4513"/>
        <w:tab w:val="right" w:pos="9026"/>
      </w:tabs>
    </w:pPr>
  </w:style>
  <w:style w:type="character" w:customStyle="1" w:styleId="FooterChar">
    <w:name w:val="Footer Char"/>
    <w:basedOn w:val="DefaultParagraphFont"/>
    <w:link w:val="Footer"/>
    <w:uiPriority w:val="99"/>
    <w:rsid w:val="0005435B"/>
    <w:rPr>
      <w:rFonts w:ascii="Tahoma" w:hAnsi="Tahoma"/>
      <w:kern w:val="0"/>
      <w:lang w:val="id-ID"/>
    </w:rPr>
  </w:style>
  <w:style w:type="table" w:styleId="TableGrid">
    <w:name w:val="Table Grid"/>
    <w:basedOn w:val="TableNormal"/>
    <w:rsid w:val="0005435B"/>
    <w:pPr>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bstrak"/>
    <w:uiPriority w:val="1"/>
    <w:qFormat/>
    <w:rsid w:val="0005435B"/>
    <w:rPr>
      <w:sz w:val="20"/>
    </w:rPr>
  </w:style>
  <w:style w:type="character" w:customStyle="1" w:styleId="Heading2Char">
    <w:name w:val="Heading 2 Char"/>
    <w:basedOn w:val="DefaultParagraphFont"/>
    <w:link w:val="Heading2"/>
    <w:uiPriority w:val="9"/>
    <w:rsid w:val="0005435B"/>
    <w:rPr>
      <w:rFonts w:asciiTheme="majorHAnsi" w:eastAsiaTheme="majorEastAsia" w:hAnsiTheme="majorHAnsi" w:cstheme="majorBidi"/>
      <w:color w:val="2F5496" w:themeColor="accent1" w:themeShade="BF"/>
      <w:kern w:val="0"/>
      <w:sz w:val="26"/>
      <w:szCs w:val="26"/>
      <w:lang w:val="id-ID"/>
    </w:rPr>
  </w:style>
  <w:style w:type="paragraph" w:styleId="NormalWeb">
    <w:name w:val="Normal (Web)"/>
    <w:basedOn w:val="Normal"/>
    <w:uiPriority w:val="99"/>
    <w:rsid w:val="0005435B"/>
    <w:pPr>
      <w:spacing w:before="100" w:beforeAutospacing="1" w:after="100" w:afterAutospacing="1"/>
      <w:jc w:val="left"/>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5435B"/>
    <w:pPr>
      <w:ind w:left="720"/>
      <w:contextualSpacing/>
    </w:pPr>
  </w:style>
  <w:style w:type="character" w:customStyle="1" w:styleId="Heading3Char">
    <w:name w:val="Heading 3 Char"/>
    <w:basedOn w:val="DefaultParagraphFont"/>
    <w:link w:val="Heading3"/>
    <w:uiPriority w:val="9"/>
    <w:semiHidden/>
    <w:rsid w:val="00E24B13"/>
    <w:rPr>
      <w:rFonts w:asciiTheme="majorHAnsi" w:eastAsiaTheme="majorEastAsia" w:hAnsiTheme="majorHAnsi" w:cstheme="majorBidi"/>
      <w:color w:val="1F3763" w:themeColor="accent1" w:themeShade="7F"/>
      <w:kern w:val="0"/>
      <w:sz w:val="24"/>
      <w:szCs w:val="24"/>
      <w:lang w:val="id-ID"/>
    </w:rPr>
  </w:style>
  <w:style w:type="character" w:customStyle="1" w:styleId="Heading4Char">
    <w:name w:val="Heading 4 Char"/>
    <w:basedOn w:val="DefaultParagraphFont"/>
    <w:link w:val="Heading4"/>
    <w:uiPriority w:val="9"/>
    <w:semiHidden/>
    <w:rsid w:val="00A70B71"/>
    <w:rPr>
      <w:rFonts w:asciiTheme="majorHAnsi" w:eastAsiaTheme="majorEastAsia" w:hAnsiTheme="majorHAnsi" w:cstheme="majorBidi"/>
      <w:i/>
      <w:iCs/>
      <w:color w:val="2F5496" w:themeColor="accent1" w:themeShade="BF"/>
      <w:kern w:val="0"/>
      <w:lang w:val="id-ID"/>
    </w:rPr>
  </w:style>
  <w:style w:type="character" w:customStyle="1" w:styleId="TitleChar">
    <w:name w:val="Title Char"/>
    <w:aliases w:val="Gambar Char"/>
    <w:basedOn w:val="DefaultParagraphFont"/>
    <w:link w:val="Title"/>
    <w:uiPriority w:val="10"/>
    <w:rsid w:val="00A70B71"/>
    <w:rPr>
      <w:rFonts w:ascii="Tahoma" w:eastAsiaTheme="majorEastAsia" w:hAnsi="Tahoma" w:cstheme="majorBidi"/>
      <w:color w:val="000000" w:themeColor="text1"/>
      <w:spacing w:val="5"/>
      <w:kern w:val="28"/>
      <w:sz w:val="20"/>
      <w:szCs w:val="52"/>
      <w:lang w:val="id-ID"/>
    </w:rPr>
  </w:style>
  <w:style w:type="paragraph" w:styleId="Subtitle">
    <w:name w:val="Subtitle"/>
    <w:basedOn w:val="Normal"/>
    <w:next w:val="Normal"/>
    <w:link w:val="SubtitleChar"/>
    <w:uiPriority w:val="11"/>
    <w:qFormat/>
    <w:pPr>
      <w:spacing w:before="240" w:after="240"/>
      <w:jc w:val="center"/>
    </w:pPr>
    <w:rPr>
      <w:color w:val="000000"/>
      <w:sz w:val="20"/>
      <w:szCs w:val="20"/>
    </w:rPr>
  </w:style>
  <w:style w:type="character" w:customStyle="1" w:styleId="SubtitleChar">
    <w:name w:val="Subtitle Char"/>
    <w:basedOn w:val="DefaultParagraphFont"/>
    <w:link w:val="Subtitle"/>
    <w:uiPriority w:val="11"/>
    <w:rsid w:val="00386388"/>
    <w:rPr>
      <w:rFonts w:ascii="Tahoma" w:eastAsiaTheme="majorEastAsia" w:hAnsi="Tahoma" w:cstheme="majorBidi"/>
      <w:iCs/>
      <w:color w:val="000000" w:themeColor="text1"/>
      <w:kern w:val="0"/>
      <w:sz w:val="20"/>
      <w:szCs w:val="24"/>
      <w:lang w:val="id-ID"/>
    </w:rPr>
  </w:style>
  <w:style w:type="character" w:styleId="Hyperlink">
    <w:name w:val="Hyperlink"/>
    <w:unhideWhenUsed/>
    <w:rsid w:val="00B37BCB"/>
    <w:rPr>
      <w:color w:val="0000FF"/>
      <w:u w:val="single"/>
    </w:rPr>
  </w:style>
  <w:style w:type="character" w:styleId="UnresolvedMention">
    <w:name w:val="Unresolved Mention"/>
    <w:basedOn w:val="DefaultParagraphFont"/>
    <w:uiPriority w:val="99"/>
    <w:semiHidden/>
    <w:unhideWhenUsed/>
    <w:rsid w:val="00124C59"/>
    <w:rPr>
      <w:color w:val="605E5C"/>
      <w:shd w:val="clear" w:color="auto" w:fill="E1DFDD"/>
    </w:rPr>
  </w:style>
  <w:style w:type="paragraph" w:styleId="Bibliography">
    <w:name w:val="Bibliography"/>
    <w:basedOn w:val="Normal"/>
    <w:next w:val="Normal"/>
    <w:uiPriority w:val="37"/>
    <w:unhideWhenUsed/>
    <w:rsid w:val="005143ED"/>
    <w:pPr>
      <w:tabs>
        <w:tab w:val="left" w:pos="504"/>
      </w:tabs>
      <w:ind w:left="504" w:hanging="504"/>
    </w:pPr>
  </w:style>
  <w:style w:type="table" w:customStyle="1" w:styleId="a">
    <w:name w:val="a"/>
    <w:basedOn w:val="TableNormal"/>
    <w:pPr>
      <w:ind w:left="567"/>
    </w:pPr>
    <w:tblPr>
      <w:tblStyleRowBandSize w:val="1"/>
      <w:tblStyleColBandSize w:val="1"/>
    </w:tblPr>
  </w:style>
  <w:style w:type="table" w:customStyle="1" w:styleId="a4">
    <w:name w:val="a4"/>
    <w:basedOn w:val="TableNormal"/>
    <w:pPr>
      <w:ind w:left="567"/>
    </w:pPr>
    <w:tblPr>
      <w:tblStyleRowBandSize w:val="1"/>
      <w:tblStyleColBandSize w:val="1"/>
    </w:tblPr>
  </w:style>
  <w:style w:type="table" w:customStyle="1" w:styleId="a5">
    <w:name w:val="a5"/>
    <w:basedOn w:val="TableNormal"/>
    <w:pPr>
      <w:ind w:left="567"/>
    </w:pPr>
    <w:tblPr>
      <w:tblStyleRowBandSize w:val="1"/>
      <w:tblStyleColBandSize w:val="1"/>
    </w:tblPr>
  </w:style>
  <w:style w:type="character" w:styleId="Strong">
    <w:name w:val="Strong"/>
    <w:basedOn w:val="DefaultParagraphFont"/>
    <w:uiPriority w:val="22"/>
    <w:qFormat/>
    <w:rsid w:val="0086695B"/>
    <w:rPr>
      <w:b/>
      <w:bCs/>
    </w:rPr>
  </w:style>
  <w:style w:type="character" w:styleId="Emphasis">
    <w:name w:val="Emphasis"/>
    <w:basedOn w:val="DefaultParagraphFont"/>
    <w:uiPriority w:val="20"/>
    <w:qFormat/>
    <w:rsid w:val="001559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33"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3.jpe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diagramLayout" Target="diagrams/layout1.xml"/><Relationship Id="rId28"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jurnal.poliwangi.ac.id/index.php/abdiwangi"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56DE29-8E1B-4A68-8DA6-EE2A89B76E91}" type="doc">
      <dgm:prSet loTypeId="urn:microsoft.com/office/officeart/2005/8/layout/arrow2#1" loCatId="process" qsTypeId="urn:microsoft.com/office/officeart/2005/8/quickstyle/simple1" qsCatId="simple" csTypeId="urn:microsoft.com/office/officeart/2005/8/colors/accent1_2" csCatId="accent1" phldr="1"/>
      <dgm:spPr/>
    </dgm:pt>
    <dgm:pt modelId="{57E79529-9990-40F9-87BE-0969CF52D680}">
      <dgm:prSet phldrT="[Text]" custT="1"/>
      <dgm:spPr/>
      <dgm:t>
        <a:bodyPr/>
        <a:lstStyle/>
        <a:p>
          <a:r>
            <a:rPr lang="en-ID" sz="1200"/>
            <a:t>Observasi Pra-Kegiatan</a:t>
          </a:r>
        </a:p>
      </dgm:t>
    </dgm:pt>
    <dgm:pt modelId="{0051947E-48BF-4450-8E5F-D730396C9631}" type="parTrans" cxnId="{D93476B1-36CC-4C50-A8B8-295AAFE58C11}">
      <dgm:prSet/>
      <dgm:spPr/>
      <dgm:t>
        <a:bodyPr/>
        <a:lstStyle/>
        <a:p>
          <a:endParaRPr lang="en-ID"/>
        </a:p>
      </dgm:t>
    </dgm:pt>
    <dgm:pt modelId="{BF43098B-C6A5-42FA-8628-7FF7C5267680}" type="sibTrans" cxnId="{D93476B1-36CC-4C50-A8B8-295AAFE58C11}">
      <dgm:prSet/>
      <dgm:spPr/>
      <dgm:t>
        <a:bodyPr/>
        <a:lstStyle/>
        <a:p>
          <a:endParaRPr lang="en-ID"/>
        </a:p>
      </dgm:t>
    </dgm:pt>
    <dgm:pt modelId="{D2A51928-C235-4B12-BB65-1F9848140AF8}">
      <dgm:prSet phldrT="[Text]" custT="1"/>
      <dgm:spPr/>
      <dgm:t>
        <a:bodyPr/>
        <a:lstStyle/>
        <a:p>
          <a:r>
            <a:rPr lang="en-ID" sz="1200"/>
            <a:t>Workshop Literasi Digital</a:t>
          </a:r>
        </a:p>
      </dgm:t>
    </dgm:pt>
    <dgm:pt modelId="{2E7D46D9-4DE1-45BF-9141-09C434747E21}" type="parTrans" cxnId="{5D17577F-F618-48DB-B6DB-24C5E7E2EB1A}">
      <dgm:prSet/>
      <dgm:spPr/>
      <dgm:t>
        <a:bodyPr/>
        <a:lstStyle/>
        <a:p>
          <a:endParaRPr lang="en-ID"/>
        </a:p>
      </dgm:t>
    </dgm:pt>
    <dgm:pt modelId="{8119E96A-DB10-4140-A229-2B821B80C76E}" type="sibTrans" cxnId="{5D17577F-F618-48DB-B6DB-24C5E7E2EB1A}">
      <dgm:prSet/>
      <dgm:spPr/>
      <dgm:t>
        <a:bodyPr/>
        <a:lstStyle/>
        <a:p>
          <a:endParaRPr lang="en-ID"/>
        </a:p>
      </dgm:t>
    </dgm:pt>
    <dgm:pt modelId="{E40F6D88-A858-40E0-880A-5792101886AE}">
      <dgm:prSet phldrT="[Text]" custT="1"/>
      <dgm:spPr/>
      <dgm:t>
        <a:bodyPr/>
        <a:lstStyle/>
        <a:p>
          <a:r>
            <a:rPr lang="en-ID" sz="1200"/>
            <a:t>Evaluasi</a:t>
          </a:r>
        </a:p>
      </dgm:t>
    </dgm:pt>
    <dgm:pt modelId="{CA159730-C364-492B-99BF-A4355B9BB95A}" type="parTrans" cxnId="{91A946CD-1002-4D7E-8A86-ADF3D281FE95}">
      <dgm:prSet/>
      <dgm:spPr/>
      <dgm:t>
        <a:bodyPr/>
        <a:lstStyle/>
        <a:p>
          <a:endParaRPr lang="en-ID"/>
        </a:p>
      </dgm:t>
    </dgm:pt>
    <dgm:pt modelId="{C78A12B7-942E-41D5-A4A0-BE7E04AAF760}" type="sibTrans" cxnId="{91A946CD-1002-4D7E-8A86-ADF3D281FE95}">
      <dgm:prSet/>
      <dgm:spPr/>
      <dgm:t>
        <a:bodyPr/>
        <a:lstStyle/>
        <a:p>
          <a:endParaRPr lang="en-ID"/>
        </a:p>
      </dgm:t>
    </dgm:pt>
    <dgm:pt modelId="{2FAF240C-007E-4ECA-8B1E-003DDC13D479}" type="pres">
      <dgm:prSet presAssocID="{3F56DE29-8E1B-4A68-8DA6-EE2A89B76E91}" presName="arrowDiagram" presStyleCnt="0">
        <dgm:presLayoutVars>
          <dgm:chMax val="5"/>
          <dgm:dir/>
          <dgm:resizeHandles val="exact"/>
        </dgm:presLayoutVars>
      </dgm:prSet>
      <dgm:spPr/>
    </dgm:pt>
    <dgm:pt modelId="{5D9A070C-FDE0-49EC-B9F6-EB3E37DF0F4F}" type="pres">
      <dgm:prSet presAssocID="{3F56DE29-8E1B-4A68-8DA6-EE2A89B76E91}" presName="arrow" presStyleLbl="bgShp" presStyleIdx="0" presStyleCnt="1" custLinFactY="195416" custLinFactNeighborX="1786" custLinFactNeighborY="200000"/>
      <dgm:spPr/>
    </dgm:pt>
    <dgm:pt modelId="{C5D5A034-50DA-4662-AE64-83020EC60259}" type="pres">
      <dgm:prSet presAssocID="{3F56DE29-8E1B-4A68-8DA6-EE2A89B76E91}" presName="arrowDiagram3" presStyleCnt="0"/>
      <dgm:spPr/>
    </dgm:pt>
    <dgm:pt modelId="{E7E0492C-F5AE-42EF-8AD0-324C3BEC0E86}" type="pres">
      <dgm:prSet presAssocID="{57E79529-9990-40F9-87BE-0969CF52D680}" presName="bullet3a" presStyleLbl="node1" presStyleIdx="0" presStyleCnt="3"/>
      <dgm:spPr/>
    </dgm:pt>
    <dgm:pt modelId="{964AA3E8-E000-4C15-B415-9F75B0E6D847}" type="pres">
      <dgm:prSet presAssocID="{57E79529-9990-40F9-87BE-0969CF52D680}" presName="textBox3a" presStyleLbl="revTx" presStyleIdx="0" presStyleCnt="3">
        <dgm:presLayoutVars>
          <dgm:bulletEnabled val="1"/>
        </dgm:presLayoutVars>
      </dgm:prSet>
      <dgm:spPr/>
    </dgm:pt>
    <dgm:pt modelId="{5C8CE4D1-7827-41E4-A605-AE9E1C225EDB}" type="pres">
      <dgm:prSet presAssocID="{D2A51928-C235-4B12-BB65-1F9848140AF8}" presName="bullet3b" presStyleLbl="node1" presStyleIdx="1" presStyleCnt="3"/>
      <dgm:spPr/>
    </dgm:pt>
    <dgm:pt modelId="{F2FA6BAC-E22B-406C-88C9-F689E6B334A9}" type="pres">
      <dgm:prSet presAssocID="{D2A51928-C235-4B12-BB65-1F9848140AF8}" presName="textBox3b" presStyleLbl="revTx" presStyleIdx="1" presStyleCnt="3">
        <dgm:presLayoutVars>
          <dgm:bulletEnabled val="1"/>
        </dgm:presLayoutVars>
      </dgm:prSet>
      <dgm:spPr/>
    </dgm:pt>
    <dgm:pt modelId="{ABEF10F3-6A07-4105-9BAC-9A1BF6598DC2}" type="pres">
      <dgm:prSet presAssocID="{E40F6D88-A858-40E0-880A-5792101886AE}" presName="bullet3c" presStyleLbl="node1" presStyleIdx="2" presStyleCnt="3"/>
      <dgm:spPr/>
    </dgm:pt>
    <dgm:pt modelId="{B579A988-968E-4D5E-908A-588ACDF7DDD5}" type="pres">
      <dgm:prSet presAssocID="{E40F6D88-A858-40E0-880A-5792101886AE}" presName="textBox3c" presStyleLbl="revTx" presStyleIdx="2" presStyleCnt="3">
        <dgm:presLayoutVars>
          <dgm:bulletEnabled val="1"/>
        </dgm:presLayoutVars>
      </dgm:prSet>
      <dgm:spPr/>
    </dgm:pt>
  </dgm:ptLst>
  <dgm:cxnLst>
    <dgm:cxn modelId="{A4364823-0426-4E74-A8BF-FC56B988A3D6}" type="presOf" srcId="{E40F6D88-A858-40E0-880A-5792101886AE}" destId="{B579A988-968E-4D5E-908A-588ACDF7DDD5}" srcOrd="0" destOrd="0" presId="urn:microsoft.com/office/officeart/2005/8/layout/arrow2#1"/>
    <dgm:cxn modelId="{5D17577F-F618-48DB-B6DB-24C5E7E2EB1A}" srcId="{3F56DE29-8E1B-4A68-8DA6-EE2A89B76E91}" destId="{D2A51928-C235-4B12-BB65-1F9848140AF8}" srcOrd="1" destOrd="0" parTransId="{2E7D46D9-4DE1-45BF-9141-09C434747E21}" sibTransId="{8119E96A-DB10-4140-A229-2B821B80C76E}"/>
    <dgm:cxn modelId="{D93476B1-36CC-4C50-A8B8-295AAFE58C11}" srcId="{3F56DE29-8E1B-4A68-8DA6-EE2A89B76E91}" destId="{57E79529-9990-40F9-87BE-0969CF52D680}" srcOrd="0" destOrd="0" parTransId="{0051947E-48BF-4450-8E5F-D730396C9631}" sibTransId="{BF43098B-C6A5-42FA-8628-7FF7C5267680}"/>
    <dgm:cxn modelId="{77FA6ECB-D7DE-4316-8DD2-5A930AA13D78}" type="presOf" srcId="{3F56DE29-8E1B-4A68-8DA6-EE2A89B76E91}" destId="{2FAF240C-007E-4ECA-8B1E-003DDC13D479}" srcOrd="0" destOrd="0" presId="urn:microsoft.com/office/officeart/2005/8/layout/arrow2#1"/>
    <dgm:cxn modelId="{91A946CD-1002-4D7E-8A86-ADF3D281FE95}" srcId="{3F56DE29-8E1B-4A68-8DA6-EE2A89B76E91}" destId="{E40F6D88-A858-40E0-880A-5792101886AE}" srcOrd="2" destOrd="0" parTransId="{CA159730-C364-492B-99BF-A4355B9BB95A}" sibTransId="{C78A12B7-942E-41D5-A4A0-BE7E04AAF760}"/>
    <dgm:cxn modelId="{C755D6D2-5329-4439-9ED0-02D86DA8F51F}" type="presOf" srcId="{D2A51928-C235-4B12-BB65-1F9848140AF8}" destId="{F2FA6BAC-E22B-406C-88C9-F689E6B334A9}" srcOrd="0" destOrd="0" presId="urn:microsoft.com/office/officeart/2005/8/layout/arrow2#1"/>
    <dgm:cxn modelId="{3F9A2CDC-67FC-4A07-9A5E-A7B8F1FB9DBC}" type="presOf" srcId="{57E79529-9990-40F9-87BE-0969CF52D680}" destId="{964AA3E8-E000-4C15-B415-9F75B0E6D847}" srcOrd="0" destOrd="0" presId="urn:microsoft.com/office/officeart/2005/8/layout/arrow2#1"/>
    <dgm:cxn modelId="{2D3AFD0F-7DE2-42B5-B234-1904EEC49F13}" type="presParOf" srcId="{2FAF240C-007E-4ECA-8B1E-003DDC13D479}" destId="{5D9A070C-FDE0-49EC-B9F6-EB3E37DF0F4F}" srcOrd="0" destOrd="0" presId="urn:microsoft.com/office/officeart/2005/8/layout/arrow2#1"/>
    <dgm:cxn modelId="{67D370F3-B94E-4FE2-A804-D92CF479F519}" type="presParOf" srcId="{2FAF240C-007E-4ECA-8B1E-003DDC13D479}" destId="{C5D5A034-50DA-4662-AE64-83020EC60259}" srcOrd="1" destOrd="0" presId="urn:microsoft.com/office/officeart/2005/8/layout/arrow2#1"/>
    <dgm:cxn modelId="{B1C1C028-4696-4230-A572-AE5A3C078315}" type="presParOf" srcId="{C5D5A034-50DA-4662-AE64-83020EC60259}" destId="{E7E0492C-F5AE-42EF-8AD0-324C3BEC0E86}" srcOrd="0" destOrd="0" presId="urn:microsoft.com/office/officeart/2005/8/layout/arrow2#1"/>
    <dgm:cxn modelId="{0D22C86C-B476-4306-B8D6-43B37443348A}" type="presParOf" srcId="{C5D5A034-50DA-4662-AE64-83020EC60259}" destId="{964AA3E8-E000-4C15-B415-9F75B0E6D847}" srcOrd="1" destOrd="0" presId="urn:microsoft.com/office/officeart/2005/8/layout/arrow2#1"/>
    <dgm:cxn modelId="{22B6D6B9-5269-4DC0-A121-3A766D3DEF45}" type="presParOf" srcId="{C5D5A034-50DA-4662-AE64-83020EC60259}" destId="{5C8CE4D1-7827-41E4-A605-AE9E1C225EDB}" srcOrd="2" destOrd="0" presId="urn:microsoft.com/office/officeart/2005/8/layout/arrow2#1"/>
    <dgm:cxn modelId="{5D4E4125-6537-43E4-AD66-F4C97A60EEE0}" type="presParOf" srcId="{C5D5A034-50DA-4662-AE64-83020EC60259}" destId="{F2FA6BAC-E22B-406C-88C9-F689E6B334A9}" srcOrd="3" destOrd="0" presId="urn:microsoft.com/office/officeart/2005/8/layout/arrow2#1"/>
    <dgm:cxn modelId="{11023FEA-2F37-4EA1-9A33-834EE9FD13D0}" type="presParOf" srcId="{C5D5A034-50DA-4662-AE64-83020EC60259}" destId="{ABEF10F3-6A07-4105-9BAC-9A1BF6598DC2}" srcOrd="4" destOrd="0" presId="urn:microsoft.com/office/officeart/2005/8/layout/arrow2#1"/>
    <dgm:cxn modelId="{D0A32A3B-7199-43A8-A01E-A10640AB9C20}" type="presParOf" srcId="{C5D5A034-50DA-4662-AE64-83020EC60259}" destId="{B579A988-968E-4D5E-908A-588ACDF7DDD5}" srcOrd="5" destOrd="0" presId="urn:microsoft.com/office/officeart/2005/8/layout/arrow2#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A070C-FDE0-49EC-B9F6-EB3E37DF0F4F}">
      <dsp:nvSpPr>
        <dsp:cNvPr id="0" name=""/>
        <dsp:cNvSpPr/>
      </dsp:nvSpPr>
      <dsp:spPr>
        <a:xfrm>
          <a:off x="204714" y="0"/>
          <a:ext cx="2993136" cy="187071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7E0492C-F5AE-42EF-8AD0-324C3BEC0E86}">
      <dsp:nvSpPr>
        <dsp:cNvPr id="0" name=""/>
        <dsp:cNvSpPr/>
      </dsp:nvSpPr>
      <dsp:spPr>
        <a:xfrm>
          <a:off x="531385" y="1291164"/>
          <a:ext cx="77821" cy="77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4AA3E8-E000-4C15-B415-9F75B0E6D847}">
      <dsp:nvSpPr>
        <dsp:cNvPr id="0" name=""/>
        <dsp:cNvSpPr/>
      </dsp:nvSpPr>
      <dsp:spPr>
        <a:xfrm>
          <a:off x="570296" y="1330074"/>
          <a:ext cx="697400" cy="5406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236" tIns="0" rIns="0" bIns="0" numCol="1" spcCol="1270" anchor="t" anchorCtr="0">
          <a:noAutofit/>
        </a:bodyPr>
        <a:lstStyle/>
        <a:p>
          <a:pPr marL="0" lvl="0" indent="0" algn="l" defTabSz="533400">
            <a:lnSpc>
              <a:spcPct val="90000"/>
            </a:lnSpc>
            <a:spcBef>
              <a:spcPct val="0"/>
            </a:spcBef>
            <a:spcAft>
              <a:spcPct val="35000"/>
            </a:spcAft>
            <a:buNone/>
          </a:pPr>
          <a:r>
            <a:rPr lang="en-ID" sz="1200" kern="1200"/>
            <a:t>Observasi Pra-Kegiatan</a:t>
          </a:r>
        </a:p>
      </dsp:txBody>
      <dsp:txXfrm>
        <a:off x="570296" y="1330074"/>
        <a:ext cx="697400" cy="540635"/>
      </dsp:txXfrm>
    </dsp:sp>
    <dsp:sp modelId="{5C8CE4D1-7827-41E4-A605-AE9E1C225EDB}">
      <dsp:nvSpPr>
        <dsp:cNvPr id="0" name=""/>
        <dsp:cNvSpPr/>
      </dsp:nvSpPr>
      <dsp:spPr>
        <a:xfrm>
          <a:off x="1218309" y="782705"/>
          <a:ext cx="140677" cy="14067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FA6BAC-E22B-406C-88C9-F689E6B334A9}">
      <dsp:nvSpPr>
        <dsp:cNvPr id="0" name=""/>
        <dsp:cNvSpPr/>
      </dsp:nvSpPr>
      <dsp:spPr>
        <a:xfrm>
          <a:off x="1288648" y="853043"/>
          <a:ext cx="718352" cy="10176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4542" tIns="0" rIns="0" bIns="0" numCol="1" spcCol="1270" anchor="t" anchorCtr="0">
          <a:noAutofit/>
        </a:bodyPr>
        <a:lstStyle/>
        <a:p>
          <a:pPr marL="0" lvl="0" indent="0" algn="l" defTabSz="533400">
            <a:lnSpc>
              <a:spcPct val="90000"/>
            </a:lnSpc>
            <a:spcBef>
              <a:spcPct val="0"/>
            </a:spcBef>
            <a:spcAft>
              <a:spcPct val="35000"/>
            </a:spcAft>
            <a:buNone/>
          </a:pPr>
          <a:r>
            <a:rPr lang="en-ID" sz="1200" kern="1200"/>
            <a:t>Workshop Literasi Digital</a:t>
          </a:r>
        </a:p>
      </dsp:txBody>
      <dsp:txXfrm>
        <a:off x="1288648" y="853043"/>
        <a:ext cx="718352" cy="1017666"/>
      </dsp:txXfrm>
    </dsp:sp>
    <dsp:sp modelId="{ABEF10F3-6A07-4105-9BAC-9A1BF6598DC2}">
      <dsp:nvSpPr>
        <dsp:cNvPr id="0" name=""/>
        <dsp:cNvSpPr/>
      </dsp:nvSpPr>
      <dsp:spPr>
        <a:xfrm>
          <a:off x="2044415" y="473289"/>
          <a:ext cx="194553" cy="1945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579A988-968E-4D5E-908A-588ACDF7DDD5}">
      <dsp:nvSpPr>
        <dsp:cNvPr id="0" name=""/>
        <dsp:cNvSpPr/>
      </dsp:nvSpPr>
      <dsp:spPr>
        <a:xfrm>
          <a:off x="2141692" y="570566"/>
          <a:ext cx="718352" cy="13001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3090" tIns="0" rIns="0" bIns="0" numCol="1" spcCol="1270" anchor="t" anchorCtr="0">
          <a:noAutofit/>
        </a:bodyPr>
        <a:lstStyle/>
        <a:p>
          <a:pPr marL="0" lvl="0" indent="0" algn="l" defTabSz="533400">
            <a:lnSpc>
              <a:spcPct val="90000"/>
            </a:lnSpc>
            <a:spcBef>
              <a:spcPct val="0"/>
            </a:spcBef>
            <a:spcAft>
              <a:spcPct val="35000"/>
            </a:spcAft>
            <a:buNone/>
          </a:pPr>
          <a:r>
            <a:rPr lang="en-ID" sz="1200" kern="1200"/>
            <a:t>Evaluasi</a:t>
          </a:r>
        </a:p>
      </dsp:txBody>
      <dsp:txXfrm>
        <a:off x="2141692" y="570566"/>
        <a:ext cx="718352" cy="1300143"/>
      </dsp:txXfrm>
    </dsp:sp>
  </dsp:spTree>
</dsp:drawing>
</file>

<file path=word/diagrams/layout1.xml><?xml version="1.0" encoding="utf-8"?>
<dgm:layoutDef xmlns:dgm="http://schemas.openxmlformats.org/drawingml/2006/diagram" xmlns:a="http://schemas.openxmlformats.org/drawingml/2006/main" uniqueId="urn:microsoft.com/office/officeart/2005/8/layout/arrow2#1">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horzAlign" val="none"/>
                <dgm:param type="vert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parTxLTRAlign" val="r"/>
                    <dgm:param type="parTxRTLAlign" val="r"/>
                    <dgm:param type="txAnchorVert" val="t"/>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parTxLTRAlign" val="l"/>
                            <dgm:param type="parTxRTLAlign" val="r"/>
                            <dgm:param type="txAnchorVert" val="t"/>
                          </dgm:alg>
                        </dgm:if>
                        <dgm:else name="Name15">
                          <dgm:alg type="tx">
                            <dgm:param type="parTxLTRAlign" val="l"/>
                            <dgm:param type="parTxRTLAlign" val="l"/>
                            <dgm:param type="txAnchorVert" val="t"/>
                          </dgm:alg>
                        </dgm:else>
                      </dgm:choose>
                    </dgm:if>
                    <dgm:else name="Name16">
                      <dgm:choose name="Name17">
                        <dgm:if name="Name18" axis="root des" ptType="all node" func="maxDepth" op="gt" val="1">
                          <dgm:alg type="tx">
                            <dgm:param type="parTxLTRAlign" val="l"/>
                            <dgm:param type="parTxRTLAlign" val="r"/>
                            <dgm:param type="txAnchorVert" val="b"/>
                            <dgm:param type="txAnchorVertCh" val="b"/>
                          </dgm:alg>
                        </dgm:if>
                        <dgm:else name="Name1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parTxLTRAlign" val="l"/>
                            <dgm:param type="parTxRTLAlign" val="r"/>
                            <dgm:param type="txAnchorVert" val="t"/>
                          </dgm:alg>
                        </dgm:if>
                        <dgm:else name="Name28">
                          <dgm:alg type="tx">
                            <dgm:param type="parTxLTRAlign" val="l"/>
                            <dgm:param type="parTxRTLAlign" val="l"/>
                            <dgm:param type="txAnchorVert" val="t"/>
                          </dgm:alg>
                        </dgm:else>
                      </dgm:choose>
                    </dgm:if>
                    <dgm:else name="Name29">
                      <dgm:choose name="Name30">
                        <dgm:if name="Name31" axis="root des" ptType="all node" func="maxDepth" op="gt" val="1">
                          <dgm:alg type="tx">
                            <dgm:param type="parTxLTRAlign" val="l"/>
                            <dgm:param type="parTxRTLAlign" val="r"/>
                            <dgm:param type="txAnchorVert" val="b"/>
                            <dgm:param type="txAnchorVertCh" val="b"/>
                          </dgm:alg>
                        </dgm:if>
                        <dgm:else name="Name3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horzAlign" val="none"/>
                <dgm:param type="vert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parTxLTRAlign" val="l"/>
                            <dgm:param type="parTxRTLAlign" val="r"/>
                            <dgm:param type="txAnchorVert" val="t"/>
                          </dgm:alg>
                        </dgm:if>
                        <dgm:else name="Name45">
                          <dgm:alg type="tx">
                            <dgm:param type="parTxLTRAlign" val="l"/>
                            <dgm:param type="parTxRTLAlign" val="l"/>
                            <dgm:param type="txAnchorVert" val="t"/>
                          </dgm:alg>
                        </dgm:else>
                      </dgm:choose>
                    </dgm:if>
                    <dgm:else name="Name46">
                      <dgm:choose name="Name47">
                        <dgm:if name="Name48" axis="root des" ptType="all node" func="maxDepth" op="gt" val="1">
                          <dgm:alg type="tx">
                            <dgm:param type="parTxLTRAlign" val="l"/>
                            <dgm:param type="parTxRTLAlign" val="r"/>
                            <dgm:param type="txAnchorVert" val="b"/>
                            <dgm:param type="txAnchorVertCh" val="b"/>
                          </dgm:alg>
                        </dgm:if>
                        <dgm:else name="Name4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parTxLTRAlign" val="l"/>
                            <dgm:param type="parTxRTLAlign" val="r"/>
                            <dgm:param type="txAnchorVert" val="t"/>
                          </dgm:alg>
                        </dgm:if>
                        <dgm:else name="Name58">
                          <dgm:alg type="tx">
                            <dgm:param type="parTxLTRAlign" val="l"/>
                            <dgm:param type="parTxRTLAlign" val="l"/>
                            <dgm:param type="txAnchorVert" val="t"/>
                          </dgm:alg>
                        </dgm:else>
                      </dgm:choose>
                    </dgm:if>
                    <dgm:else name="Name59">
                      <dgm:choose name="Name60">
                        <dgm:if name="Name61" axis="root des" ptType="all node" func="maxDepth" op="gt" val="1">
                          <dgm:alg type="tx">
                            <dgm:param type="parTxLTRAlign" val="l"/>
                            <dgm:param type="parTxRTLAlign" val="r"/>
                            <dgm:param type="txAnchorVert" val="b"/>
                            <dgm:param type="txAnchorVertCh" val="b"/>
                          </dgm:alg>
                        </dgm:if>
                        <dgm:else name="Name6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parTxLTRAlign" val="l"/>
                            <dgm:param type="parTxRTLAlign" val="r"/>
                            <dgm:param type="txAnchorVert" val="t"/>
                          </dgm:alg>
                        </dgm:if>
                        <dgm:else name="Name71">
                          <dgm:alg type="tx">
                            <dgm:param type="parTxLTRAlign" val="l"/>
                            <dgm:param type="parTxRTLAlign" val="l"/>
                            <dgm:param type="txAnchorVert" val="t"/>
                          </dgm:alg>
                        </dgm:else>
                      </dgm:choose>
                    </dgm:if>
                    <dgm:else name="Name72">
                      <dgm:choose name="Name73">
                        <dgm:if name="Name74" axis="root des" ptType="all node" func="maxDepth" op="gt" val="1">
                          <dgm:alg type="tx">
                            <dgm:param type="parTxLTRAlign" val="l"/>
                            <dgm:param type="parTxRTLAlign" val="r"/>
                            <dgm:param type="txAnchorVert" val="b"/>
                            <dgm:param type="txAnchorVertCh" val="b"/>
                          </dgm:alg>
                        </dgm:if>
                        <dgm:else name="Name7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horzAlign" val="none"/>
                <dgm:param type="vert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param type="txAnchorVert" val="t"/>
                          </dgm:alg>
                        </dgm:if>
                        <dgm:else name="Name88">
                          <dgm:alg type="tx">
                            <dgm:param type="parTxLTRAlign" val="l"/>
                            <dgm:param type="parTxRTLAlign" val="l"/>
                            <dgm:param type="txAnchorVert" val="t"/>
                          </dgm:alg>
                        </dgm:else>
                      </dgm:choose>
                    </dgm:if>
                    <dgm:else name="Name89">
                      <dgm:choose name="Name90">
                        <dgm:if name="Name91" axis="root des" ptType="all node" func="maxDepth" op="gt" val="1">
                          <dgm:alg type="tx">
                            <dgm:param type="parTxLTRAlign" val="l"/>
                            <dgm:param type="parTxRTLAlign" val="r"/>
                            <dgm:param type="txAnchorVert" val="b"/>
                            <dgm:param type="txAnchorVertCh" val="b"/>
                          </dgm:alg>
                        </dgm:if>
                        <dgm:else name="Name9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parTxLTRAlign" val="l"/>
                            <dgm:param type="parTxRTLAlign" val="r"/>
                            <dgm:param type="txAnchorVert" val="t"/>
                          </dgm:alg>
                        </dgm:if>
                        <dgm:else name="Name101">
                          <dgm:alg type="tx">
                            <dgm:param type="parTxLTRAlign" val="l"/>
                            <dgm:param type="parTxRTLAlign" val="l"/>
                            <dgm:param type="txAnchorVert" val="t"/>
                          </dgm:alg>
                        </dgm:else>
                      </dgm:choose>
                    </dgm:if>
                    <dgm:else name="Name102">
                      <dgm:choose name="Name103">
                        <dgm:if name="Name104" axis="root des" ptType="all node" func="maxDepth" op="gt" val="1">
                          <dgm:alg type="tx">
                            <dgm:param type="parTxLTRAlign" val="l"/>
                            <dgm:param type="parTxRTLAlign" val="r"/>
                            <dgm:param type="txAnchorVert" val="b"/>
                            <dgm:param type="txAnchorVertCh" val="b"/>
                          </dgm:alg>
                        </dgm:if>
                        <dgm:else name="Name10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parTxLTRAlign" val="l"/>
                            <dgm:param type="parTxRTLAlign" val="r"/>
                            <dgm:param type="txAnchorVert" val="t"/>
                          </dgm:alg>
                        </dgm:if>
                        <dgm:else name="Name114">
                          <dgm:alg type="tx">
                            <dgm:param type="parTxLTRAlign" val="l"/>
                            <dgm:param type="parTxRTLAlign" val="l"/>
                            <dgm:param type="txAnchorVert" val="t"/>
                          </dgm:alg>
                        </dgm:else>
                      </dgm:choose>
                    </dgm:if>
                    <dgm:else name="Name115">
                      <dgm:choose name="Name116">
                        <dgm:if name="Name117" axis="root des" ptType="all node" func="maxDepth" op="gt" val="1">
                          <dgm:alg type="tx">
                            <dgm:param type="parTxLTRAlign" val="l"/>
                            <dgm:param type="parTxRTLAlign" val="r"/>
                            <dgm:param type="txAnchorVert" val="b"/>
                            <dgm:param type="txAnchorVertCh" val="b"/>
                          </dgm:alg>
                        </dgm:if>
                        <dgm:else name="Name11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parTxLTRAlign" val="l"/>
                            <dgm:param type="parTxRTLAlign" val="r"/>
                            <dgm:param type="txAnchorVert" val="t"/>
                          </dgm:alg>
                        </dgm:if>
                        <dgm:else name="Name127">
                          <dgm:alg type="tx">
                            <dgm:param type="parTxLTRAlign" val="l"/>
                            <dgm:param type="parTxRTLAlign" val="l"/>
                            <dgm:param type="txAnchorVert" val="t"/>
                          </dgm:alg>
                        </dgm:else>
                      </dgm:choose>
                    </dgm:if>
                    <dgm:else name="Name128">
                      <dgm:choose name="Name129">
                        <dgm:if name="Name130" axis="root des" ptType="all node" func="maxDepth" op="gt" val="1">
                          <dgm:alg type="tx">
                            <dgm:param type="parTxLTRAlign" val="l"/>
                            <dgm:param type="parTxRTLAlign" val="r"/>
                            <dgm:param type="txAnchorVert" val="b"/>
                            <dgm:param type="txAnchorVertCh" val="b"/>
                          </dgm:alg>
                        </dgm:if>
                        <dgm:else name="Name13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horzAlign" val="none"/>
                <dgm:param type="vert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parTxLTRAlign" val="l"/>
                            <dgm:param type="parTxRTLAlign" val="r"/>
                            <dgm:param type="txAnchorVert" val="t"/>
                          </dgm:alg>
                        </dgm:if>
                        <dgm:else name="Name144">
                          <dgm:alg type="tx">
                            <dgm:param type="parTxLTRAlign" val="l"/>
                            <dgm:param type="parTxRTLAlign" val="l"/>
                            <dgm:param type="txAnchorVert" val="t"/>
                          </dgm:alg>
                        </dgm:else>
                      </dgm:choose>
                    </dgm:if>
                    <dgm:else name="Name145">
                      <dgm:choose name="Name146">
                        <dgm:if name="Name147" axis="root des" ptType="all node" func="maxDepth" op="gt" val="1">
                          <dgm:alg type="tx">
                            <dgm:param type="parTxLTRAlign" val="l"/>
                            <dgm:param type="parTxRTLAlign" val="r"/>
                            <dgm:param type="txAnchorVert" val="b"/>
                            <dgm:param type="txAnchorVertCh" val="b"/>
                          </dgm:alg>
                        </dgm:if>
                        <dgm:else name="Name14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parTxLTRAlign" val="l"/>
                            <dgm:param type="parTxRTLAlign" val="r"/>
                            <dgm:param type="txAnchorVert" val="t"/>
                          </dgm:alg>
                        </dgm:if>
                        <dgm:else name="Name157">
                          <dgm:alg type="tx">
                            <dgm:param type="parTxLTRAlign" val="l"/>
                            <dgm:param type="parTxRTLAlign" val="l"/>
                            <dgm:param type="txAnchorVert" val="t"/>
                          </dgm:alg>
                        </dgm:else>
                      </dgm:choose>
                    </dgm:if>
                    <dgm:else name="Name158">
                      <dgm:choose name="Name159">
                        <dgm:if name="Name160" axis="root des" ptType="all node" func="maxDepth" op="gt" val="1">
                          <dgm:alg type="tx">
                            <dgm:param type="parTxLTRAlign" val="l"/>
                            <dgm:param type="parTxRTLAlign" val="r"/>
                            <dgm:param type="txAnchorVert" val="b"/>
                            <dgm:param type="txAnchorVertCh" val="b"/>
                          </dgm:alg>
                        </dgm:if>
                        <dgm:else name="Name16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parTxLTRAlign" val="l"/>
                            <dgm:param type="parTxRTLAlign" val="r"/>
                            <dgm:param type="txAnchorVert" val="t"/>
                          </dgm:alg>
                        </dgm:if>
                        <dgm:else name="Name170">
                          <dgm:alg type="tx">
                            <dgm:param type="parTxLTRAlign" val="l"/>
                            <dgm:param type="parTxRTLAlign" val="l"/>
                            <dgm:param type="txAnchorVert" val="t"/>
                          </dgm:alg>
                        </dgm:else>
                      </dgm:choose>
                    </dgm:if>
                    <dgm:else name="Name171">
                      <dgm:choose name="Name172">
                        <dgm:if name="Name173" axis="root des" ptType="all node" func="maxDepth" op="gt" val="1">
                          <dgm:alg type="tx">
                            <dgm:param type="parTxLTRAlign" val="l"/>
                            <dgm:param type="parTxRTLAlign" val="r"/>
                            <dgm:param type="txAnchorVert" val="b"/>
                            <dgm:param type="txAnchorVertCh" val="b"/>
                          </dgm:alg>
                        </dgm:if>
                        <dgm:else name="Name174">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parTxLTRAlign" val="l"/>
                            <dgm:param type="parTxRTLAlign" val="r"/>
                            <dgm:param type="txAnchorVert" val="t"/>
                          </dgm:alg>
                        </dgm:if>
                        <dgm:else name="Name183">
                          <dgm:alg type="tx">
                            <dgm:param type="parTxLTRAlign" val="l"/>
                            <dgm:param type="parTxRTLAlign" val="l"/>
                            <dgm:param type="txAnchorVert" val="t"/>
                          </dgm:alg>
                        </dgm:else>
                      </dgm:choose>
                    </dgm:if>
                    <dgm:else name="Name184">
                      <dgm:choose name="Name185">
                        <dgm:if name="Name186" axis="root des" ptType="all node" func="maxDepth" op="gt" val="1">
                          <dgm:alg type="tx">
                            <dgm:param type="parTxLTRAlign" val="l"/>
                            <dgm:param type="parTxRTLAlign" val="r"/>
                            <dgm:param type="txAnchorVert" val="b"/>
                            <dgm:param type="txAnchorVertCh" val="b"/>
                          </dgm:alg>
                        </dgm:if>
                        <dgm:else name="Name187">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parTxLTRAlign" val="l"/>
                            <dgm:param type="parTxRTLAlign" val="r"/>
                            <dgm:param type="txAnchorVert" val="t"/>
                          </dgm:alg>
                        </dgm:if>
                        <dgm:else name="Name196">
                          <dgm:alg type="tx">
                            <dgm:param type="parTxLTRAlign" val="l"/>
                            <dgm:param type="parTxRTLAlign" val="l"/>
                            <dgm:param type="txAnchorVert" val="t"/>
                          </dgm:alg>
                        </dgm:else>
                      </dgm:choose>
                    </dgm:if>
                    <dgm:else name="Name197">
                      <dgm:choose name="Name198">
                        <dgm:if name="Name199" axis="root des" ptType="all node" func="maxDepth" op="gt" val="1">
                          <dgm:alg type="tx">
                            <dgm:param type="parTxLTRAlign" val="l"/>
                            <dgm:param type="parTxRTLAlign" val="r"/>
                            <dgm:param type="txAnchorVert" val="b"/>
                            <dgm:param type="txAnchorVertCh" val="b"/>
                          </dgm:alg>
                        </dgm:if>
                        <dgm:else name="Name200">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VmHMR9lmSEQSPNgvu/NhgCRq1A==">CgMxLjAyCGguZ2pkZ3hzMgloLjMwajB6bGw4AHIhMXpQellfQUEzMWwzZVB0YllwWmtmT0FRV0hxUkJqanhs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11</Pages>
  <Words>10255</Words>
  <Characters>58458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ekamrini</dc:creator>
  <cp:lastModifiedBy>Kanom</cp:lastModifiedBy>
  <cp:revision>20</cp:revision>
  <dcterms:created xsi:type="dcterms:W3CDTF">2024-05-22T03:06:00Z</dcterms:created>
  <dcterms:modified xsi:type="dcterms:W3CDTF">2025-07-07T09:10:00Z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id="p3ugJMi5"/&gt;&lt;style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